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4D92" w:rsidRDefault="00F14D92" w:rsidP="00F14D92">
      <w:pPr>
        <w:jc w:val="center"/>
        <w:rPr>
          <w:b/>
          <w:szCs w:val="24"/>
        </w:rPr>
      </w:pPr>
      <w:r w:rsidRPr="00F14D92">
        <w:rPr>
          <w:b/>
          <w:szCs w:val="24"/>
        </w:rPr>
        <w:t>A Rurality Indexing Approach f</w:t>
      </w:r>
      <w:bookmarkStart w:id="0" w:name="_GoBack"/>
      <w:bookmarkEnd w:id="0"/>
      <w:r w:rsidRPr="00F14D92">
        <w:rPr>
          <w:b/>
          <w:szCs w:val="24"/>
        </w:rPr>
        <w:t>or Characterizin</w:t>
      </w:r>
      <w:r w:rsidR="00D86B69">
        <w:rPr>
          <w:b/>
          <w:szCs w:val="24"/>
        </w:rPr>
        <w:t xml:space="preserve">g Rural Areas of </w:t>
      </w:r>
      <w:r w:rsidRPr="00F14D92">
        <w:rPr>
          <w:b/>
          <w:szCs w:val="24"/>
        </w:rPr>
        <w:t>South-western Region</w:t>
      </w:r>
      <w:r w:rsidR="00D86B69">
        <w:rPr>
          <w:b/>
          <w:szCs w:val="24"/>
        </w:rPr>
        <w:t xml:space="preserve"> in</w:t>
      </w:r>
      <w:r w:rsidRPr="00F14D92">
        <w:rPr>
          <w:b/>
          <w:szCs w:val="24"/>
        </w:rPr>
        <w:t xml:space="preserve"> Bangladesh</w:t>
      </w:r>
    </w:p>
    <w:p w:rsidR="009C3E00" w:rsidRDefault="009C3E00" w:rsidP="00B61287">
      <w:pPr>
        <w:spacing w:line="360" w:lineRule="auto"/>
        <w:rPr>
          <w:b/>
          <w:szCs w:val="24"/>
        </w:rPr>
      </w:pPr>
      <w:r w:rsidRPr="009C3E00">
        <w:rPr>
          <w:b/>
          <w:szCs w:val="24"/>
        </w:rPr>
        <w:t>Abstract</w:t>
      </w:r>
    </w:p>
    <w:p w:rsidR="00566CB8" w:rsidRDefault="00F65C87" w:rsidP="00B61287">
      <w:pPr>
        <w:spacing w:line="360" w:lineRule="auto"/>
      </w:pPr>
      <w:r>
        <w:rPr>
          <w:szCs w:val="24"/>
        </w:rPr>
        <w:t xml:space="preserve">This study has </w:t>
      </w:r>
      <w:r w:rsidR="004967CD">
        <w:rPr>
          <w:szCs w:val="24"/>
        </w:rPr>
        <w:t>characterized</w:t>
      </w:r>
      <w:r w:rsidR="00A168D5">
        <w:rPr>
          <w:szCs w:val="24"/>
        </w:rPr>
        <w:t xml:space="preserve"> rural areas of Khulna, Satkhira and Bagerhat districts of Khulna division</w:t>
      </w:r>
      <w:r w:rsidR="00C9361E">
        <w:rPr>
          <w:szCs w:val="24"/>
        </w:rPr>
        <w:t xml:space="preserve"> based on a rurality indexing approach utilizing population </w:t>
      </w:r>
      <w:r w:rsidR="00CC33BA">
        <w:rPr>
          <w:szCs w:val="24"/>
        </w:rPr>
        <w:t>and census data derived from Bangladesh Bureau of Statistics (BBS)</w:t>
      </w:r>
      <w:r w:rsidR="00C9361E">
        <w:rPr>
          <w:szCs w:val="24"/>
        </w:rPr>
        <w:t>. The research i</w:t>
      </w:r>
      <w:r w:rsidR="00907D35">
        <w:rPr>
          <w:szCs w:val="24"/>
        </w:rPr>
        <w:t xml:space="preserve">ntends to explore if the areas are </w:t>
      </w:r>
      <w:r w:rsidR="001558B3">
        <w:rPr>
          <w:szCs w:val="24"/>
        </w:rPr>
        <w:t>disting</w:t>
      </w:r>
      <w:r w:rsidR="00A6438C">
        <w:rPr>
          <w:szCs w:val="24"/>
        </w:rPr>
        <w:t>uished from each oth</w:t>
      </w:r>
      <w:r w:rsidR="002D59CE">
        <w:rPr>
          <w:szCs w:val="24"/>
        </w:rPr>
        <w:t xml:space="preserve">er based on </w:t>
      </w:r>
      <w:r w:rsidR="00F758F2">
        <w:rPr>
          <w:szCs w:val="24"/>
        </w:rPr>
        <w:t xml:space="preserve">the </w:t>
      </w:r>
      <w:r w:rsidR="002D59CE">
        <w:rPr>
          <w:szCs w:val="24"/>
        </w:rPr>
        <w:t>degree of rurality</w:t>
      </w:r>
      <w:r w:rsidR="00CE6509">
        <w:rPr>
          <w:szCs w:val="24"/>
        </w:rPr>
        <w:t xml:space="preserve"> within a rural-urban continuum</w:t>
      </w:r>
      <w:r w:rsidR="002D59CE">
        <w:rPr>
          <w:szCs w:val="24"/>
        </w:rPr>
        <w:t>. C</w:t>
      </w:r>
      <w:r w:rsidR="00101828">
        <w:rPr>
          <w:szCs w:val="24"/>
        </w:rPr>
        <w:t>haracterizing rural areas is of practical importance for development authorities, planners, researchers and other concerned groups to formulate</w:t>
      </w:r>
      <w:r w:rsidR="00101828" w:rsidRPr="00101828">
        <w:rPr>
          <w:rFonts w:cs="Times New Roman"/>
          <w:szCs w:val="24"/>
        </w:rPr>
        <w:t xml:space="preserve"> </w:t>
      </w:r>
      <w:r w:rsidR="00101828">
        <w:rPr>
          <w:rFonts w:cs="Times New Roman"/>
          <w:szCs w:val="24"/>
        </w:rPr>
        <w:t xml:space="preserve">effective policies and strategies targeting priority setting for resource distribution, minimizing development gap between </w:t>
      </w:r>
      <w:r w:rsidR="00D56584">
        <w:rPr>
          <w:rFonts w:cs="Times New Roman"/>
          <w:szCs w:val="24"/>
        </w:rPr>
        <w:t xml:space="preserve">rural and urban </w:t>
      </w:r>
      <w:r w:rsidR="00101828">
        <w:rPr>
          <w:rFonts w:cs="Times New Roman"/>
          <w:szCs w:val="24"/>
        </w:rPr>
        <w:t>areas, and s</w:t>
      </w:r>
      <w:r w:rsidR="00FF7EE2">
        <w:rPr>
          <w:rFonts w:cs="Times New Roman"/>
          <w:szCs w:val="24"/>
        </w:rPr>
        <w:t>ustainable rural development</w:t>
      </w:r>
      <w:r w:rsidR="00101828">
        <w:rPr>
          <w:rFonts w:cs="Times New Roman"/>
          <w:szCs w:val="24"/>
        </w:rPr>
        <w:t>.</w:t>
      </w:r>
      <w:r w:rsidR="000B3C48">
        <w:rPr>
          <w:rFonts w:cs="Times New Roman"/>
          <w:szCs w:val="24"/>
        </w:rPr>
        <w:t xml:space="preserve"> The findings educed from t</w:t>
      </w:r>
      <w:r w:rsidR="00DA75B6">
        <w:rPr>
          <w:rFonts w:cs="Times New Roman"/>
          <w:szCs w:val="24"/>
        </w:rPr>
        <w:t>he research elicit that Satkhira</w:t>
      </w:r>
      <w:r w:rsidR="00FF7EE2">
        <w:rPr>
          <w:rFonts w:cs="Times New Roman"/>
          <w:szCs w:val="24"/>
        </w:rPr>
        <w:t xml:space="preserve"> district has higher </w:t>
      </w:r>
      <w:r w:rsidR="000B3C48">
        <w:rPr>
          <w:rFonts w:cs="Times New Roman"/>
          <w:szCs w:val="24"/>
        </w:rPr>
        <w:t>ru</w:t>
      </w:r>
      <w:r w:rsidR="00DA75B6">
        <w:rPr>
          <w:rFonts w:cs="Times New Roman"/>
          <w:szCs w:val="24"/>
        </w:rPr>
        <w:t>rality (</w:t>
      </w:r>
      <w:r w:rsidR="00FF7EE2">
        <w:rPr>
          <w:rFonts w:cs="Times New Roman"/>
          <w:szCs w:val="24"/>
        </w:rPr>
        <w:t xml:space="preserve">rurality index score, </w:t>
      </w:r>
      <w:r w:rsidR="00DA75B6">
        <w:rPr>
          <w:rFonts w:cs="Times New Roman"/>
          <w:szCs w:val="24"/>
        </w:rPr>
        <w:t>RI=4.23</w:t>
      </w:r>
      <w:r w:rsidR="00D51A5E">
        <w:rPr>
          <w:rFonts w:cs="Times New Roman"/>
          <w:szCs w:val="24"/>
        </w:rPr>
        <w:t>) comparing to Khulna</w:t>
      </w:r>
      <w:r w:rsidR="00BD551F">
        <w:rPr>
          <w:rFonts w:cs="Times New Roman"/>
          <w:szCs w:val="24"/>
        </w:rPr>
        <w:t xml:space="preserve"> (RI=3.58) and Bagerhat (RI=4.14</w:t>
      </w:r>
      <w:r w:rsidR="00D65E44">
        <w:rPr>
          <w:rFonts w:cs="Times New Roman"/>
          <w:szCs w:val="24"/>
        </w:rPr>
        <w:t>) districts.</w:t>
      </w:r>
      <w:r w:rsidR="00FF7EE2" w:rsidRPr="00FF7EE2">
        <w:t xml:space="preserve"> </w:t>
      </w:r>
      <w:r w:rsidR="00FF7EE2">
        <w:t xml:space="preserve">The analysis </w:t>
      </w:r>
      <w:r w:rsidR="00F76689">
        <w:t xml:space="preserve">reveals this distinction has been shaped by the rural-urban disparity </w:t>
      </w:r>
      <w:r w:rsidR="006419AE">
        <w:t xml:space="preserve">that </w:t>
      </w:r>
      <w:r w:rsidR="00F76689">
        <w:t>exists among the districts.</w:t>
      </w:r>
      <w:r w:rsidR="006419AE" w:rsidRPr="006419AE">
        <w:t xml:space="preserve"> </w:t>
      </w:r>
      <w:r w:rsidR="006419AE">
        <w:t xml:space="preserve">An interesting point has been brought to light that rural-urban disparity within Khulna district is significantly higher. </w:t>
      </w:r>
      <w:r w:rsidR="006B64EB">
        <w:t>Addi</w:t>
      </w:r>
      <w:r w:rsidR="009B0DA5">
        <w:t>tionally, it has been noticed</w:t>
      </w:r>
      <w:r w:rsidR="006B64EB">
        <w:t xml:space="preserve"> that areas with higher extent of </w:t>
      </w:r>
      <w:r w:rsidR="00D56584">
        <w:t>non-rurality</w:t>
      </w:r>
      <w:r w:rsidR="00F758F2">
        <w:t xml:space="preserve"> </w:t>
      </w:r>
      <w:r w:rsidR="006B64EB">
        <w:t>are spatially distribut</w:t>
      </w:r>
      <w:r w:rsidR="00866930">
        <w:t>ed alongside the major rivers</w:t>
      </w:r>
      <w:r w:rsidR="00866930" w:rsidRPr="00866930">
        <w:t xml:space="preserve"> </w:t>
      </w:r>
      <w:r w:rsidR="00866930">
        <w:t>which indicates towards a likely relationship of rurality and spatiality</w:t>
      </w:r>
      <w:r w:rsidR="006B64EB">
        <w:t>.</w:t>
      </w:r>
      <w:r w:rsidR="006419AE">
        <w:t xml:space="preserve"> </w:t>
      </w:r>
      <w:r w:rsidR="00B61287">
        <w:t>The rurality index devised in this research can be used as an approximation to the operational measur</w:t>
      </w:r>
      <w:r w:rsidR="00F848C8">
        <w:t>e of rurality</w:t>
      </w:r>
      <w:r w:rsidR="00B61287">
        <w:t>.</w:t>
      </w:r>
      <w:r w:rsidR="0002530B">
        <w:t xml:space="preserve"> </w:t>
      </w:r>
      <w:r w:rsidR="00CA188B">
        <w:t>Moreover</w:t>
      </w:r>
      <w:r w:rsidR="00ED4441">
        <w:t xml:space="preserve">, the study facilitates further research on </w:t>
      </w:r>
      <w:r w:rsidR="001823F3">
        <w:t xml:space="preserve">rurality and </w:t>
      </w:r>
      <w:r w:rsidR="00ED4441">
        <w:t>rural-urban disparity considering more critical perspective</w:t>
      </w:r>
      <w:r w:rsidR="00B70991">
        <w:t>s</w:t>
      </w:r>
      <w:r w:rsidR="00ED4441">
        <w:t xml:space="preserve"> including spatial dimension, political perspectives,</w:t>
      </w:r>
      <w:r w:rsidR="00FC2127">
        <w:t xml:space="preserve"> climate</w:t>
      </w:r>
      <w:r w:rsidR="0053711E">
        <w:t xml:space="preserve"> </w:t>
      </w:r>
      <w:r w:rsidR="00C83087">
        <w:t>change</w:t>
      </w:r>
      <w:r w:rsidR="00FC2127">
        <w:t xml:space="preserve"> induced vulnerabil</w:t>
      </w:r>
      <w:r w:rsidR="00FF6F57">
        <w:t>ity and adaptation.</w:t>
      </w:r>
    </w:p>
    <w:p w:rsidR="00B61287" w:rsidRPr="00566CB8" w:rsidRDefault="00566CB8" w:rsidP="00B61287">
      <w:pPr>
        <w:spacing w:line="360" w:lineRule="auto"/>
        <w:rPr>
          <w:b/>
        </w:rPr>
      </w:pPr>
      <w:r w:rsidRPr="00566CB8">
        <w:rPr>
          <w:b/>
        </w:rPr>
        <w:t>Keywords:</w:t>
      </w:r>
      <w:r>
        <w:rPr>
          <w:b/>
        </w:rPr>
        <w:t xml:space="preserve"> </w:t>
      </w:r>
      <w:r>
        <w:t xml:space="preserve">rurality index; PCA; rurality, </w:t>
      </w:r>
      <w:r w:rsidR="00072BB4">
        <w:t>rural-urban disparity, Khulna; Bagerhat; Satkhira</w:t>
      </w:r>
      <w:r w:rsidRPr="00566CB8">
        <w:rPr>
          <w:b/>
        </w:rPr>
        <w:t xml:space="preserve">  </w:t>
      </w:r>
      <w:r w:rsidR="00FC2127" w:rsidRPr="00566CB8">
        <w:rPr>
          <w:b/>
        </w:rPr>
        <w:t xml:space="preserve"> </w:t>
      </w:r>
      <w:r w:rsidR="00ED4441" w:rsidRPr="00566CB8">
        <w:rPr>
          <w:b/>
        </w:rPr>
        <w:t xml:space="preserve">  </w:t>
      </w:r>
      <w:r w:rsidR="00D02C96" w:rsidRPr="00566CB8">
        <w:rPr>
          <w:b/>
        </w:rPr>
        <w:t xml:space="preserve">  </w:t>
      </w:r>
      <w:r w:rsidR="000F0DE9" w:rsidRPr="00566CB8">
        <w:rPr>
          <w:b/>
        </w:rPr>
        <w:t xml:space="preserve"> </w:t>
      </w:r>
      <w:r w:rsidR="0002530B" w:rsidRPr="00566CB8">
        <w:rPr>
          <w:b/>
        </w:rPr>
        <w:t xml:space="preserve"> </w:t>
      </w:r>
    </w:p>
    <w:p w:rsidR="00904FBF" w:rsidRDefault="00904FBF" w:rsidP="00904FBF">
      <w:pPr>
        <w:spacing w:line="360" w:lineRule="auto"/>
      </w:pPr>
      <w:r>
        <w:t xml:space="preserve"> </w:t>
      </w:r>
    </w:p>
    <w:p w:rsidR="006B64EB" w:rsidRDefault="006B64EB" w:rsidP="006B64EB">
      <w:pPr>
        <w:spacing w:line="360" w:lineRule="auto"/>
      </w:pPr>
    </w:p>
    <w:p w:rsidR="009C3E00" w:rsidRPr="009C3E00" w:rsidRDefault="00101828" w:rsidP="007B6CCB">
      <w:pPr>
        <w:rPr>
          <w:szCs w:val="24"/>
        </w:rPr>
      </w:pPr>
      <w:r>
        <w:rPr>
          <w:rFonts w:cs="Times New Roman"/>
          <w:szCs w:val="24"/>
        </w:rPr>
        <w:t xml:space="preserve"> </w:t>
      </w:r>
      <w:r w:rsidR="00B5240F">
        <w:rPr>
          <w:szCs w:val="24"/>
        </w:rPr>
        <w:t xml:space="preserve"> </w:t>
      </w:r>
      <w:r w:rsidR="00907D35">
        <w:rPr>
          <w:szCs w:val="24"/>
        </w:rPr>
        <w:t xml:space="preserve"> </w:t>
      </w:r>
      <w:r w:rsidR="00D17D69">
        <w:rPr>
          <w:szCs w:val="24"/>
        </w:rPr>
        <w:t xml:space="preserve"> </w:t>
      </w:r>
      <w:r w:rsidR="00F42152">
        <w:rPr>
          <w:szCs w:val="24"/>
        </w:rPr>
        <w:t xml:space="preserve"> </w:t>
      </w:r>
      <w:r w:rsidR="00242B33">
        <w:rPr>
          <w:szCs w:val="24"/>
        </w:rPr>
        <w:t xml:space="preserve"> </w:t>
      </w:r>
      <w:r w:rsidR="006A2332">
        <w:rPr>
          <w:szCs w:val="24"/>
        </w:rPr>
        <w:t xml:space="preserve"> </w:t>
      </w:r>
      <w:r w:rsidR="004E522A">
        <w:rPr>
          <w:szCs w:val="24"/>
        </w:rPr>
        <w:t xml:space="preserve"> </w:t>
      </w:r>
      <w:r w:rsidR="00BB6324">
        <w:rPr>
          <w:szCs w:val="24"/>
        </w:rPr>
        <w:t xml:space="preserve"> </w:t>
      </w:r>
      <w:r w:rsidR="00EB6F39">
        <w:rPr>
          <w:szCs w:val="24"/>
        </w:rPr>
        <w:t xml:space="preserve"> </w:t>
      </w:r>
      <w:r w:rsidR="007B6CCB">
        <w:rPr>
          <w:szCs w:val="24"/>
        </w:rPr>
        <w:t xml:space="preserve">  </w:t>
      </w:r>
    </w:p>
    <w:p w:rsidR="00F14D92" w:rsidRDefault="005E1180" w:rsidP="005E1180">
      <w:pPr>
        <w:pStyle w:val="Heading1"/>
        <w:numPr>
          <w:ilvl w:val="0"/>
          <w:numId w:val="7"/>
        </w:numPr>
        <w:rPr>
          <w:rFonts w:ascii="Times New Roman" w:hAnsi="Times New Roman" w:cs="Times New Roman"/>
          <w:b/>
          <w:color w:val="auto"/>
          <w:sz w:val="24"/>
          <w:szCs w:val="24"/>
        </w:rPr>
      </w:pPr>
      <w:r>
        <w:rPr>
          <w:rFonts w:ascii="Times New Roman" w:hAnsi="Times New Roman" w:cs="Times New Roman"/>
          <w:b/>
          <w:color w:val="auto"/>
          <w:sz w:val="24"/>
          <w:szCs w:val="24"/>
        </w:rPr>
        <w:lastRenderedPageBreak/>
        <w:t>Introduction</w:t>
      </w:r>
    </w:p>
    <w:p w:rsidR="007D52B9" w:rsidRDefault="00F41768" w:rsidP="000973D0">
      <w:pPr>
        <w:rPr>
          <w:rFonts w:cs="Times New Roman"/>
          <w:szCs w:val="24"/>
        </w:rPr>
      </w:pPr>
      <w:r>
        <w:t xml:space="preserve">Characterizing a particular space based on its notability and seclusion from multiplex perspectives including demographic, geographic, socio-economic and spatiotemporal pattern has been always pivotal for development authorities, planners and other concerned groups in decision making and policy implementation processes as plans, policies and decisions are subjected to be altered along with changes in the space. Spatiotemporal changes shape different areas of the world differently and thus lead to disparity among them which is evident by their diversified socio-economic profiles, geographic features, cultural and political stratifications </w:t>
      </w:r>
      <w:r w:rsidRPr="005B05CA">
        <w:rPr>
          <w:rFonts w:cs="Times New Roman"/>
          <w:szCs w:val="24"/>
        </w:rPr>
        <w:t>(</w:t>
      </w:r>
      <w:r w:rsidRPr="005B05CA">
        <w:rPr>
          <w:rFonts w:cs="Times New Roman"/>
          <w:bCs/>
          <w:spacing w:val="-5"/>
          <w:szCs w:val="24"/>
          <w:shd w:val="clear" w:color="auto" w:fill="FFFFFF"/>
        </w:rPr>
        <w:t>Ocaña-Riola</w:t>
      </w:r>
      <w:r w:rsidRPr="005B05CA">
        <w:rPr>
          <w:rFonts w:cs="Times New Roman"/>
          <w:szCs w:val="24"/>
        </w:rPr>
        <w:t xml:space="preserve"> and </w:t>
      </w:r>
      <w:r w:rsidRPr="005B05CA">
        <w:rPr>
          <w:rFonts w:cs="Times New Roman"/>
          <w:bCs/>
          <w:spacing w:val="-5"/>
          <w:szCs w:val="24"/>
          <w:shd w:val="clear" w:color="auto" w:fill="FFFFFF"/>
        </w:rPr>
        <w:t>Sánchez-Cantalejo</w:t>
      </w:r>
      <w:r>
        <w:rPr>
          <w:rFonts w:cs="Times New Roman"/>
          <w:bCs/>
          <w:spacing w:val="-5"/>
          <w:szCs w:val="24"/>
          <w:shd w:val="clear" w:color="auto" w:fill="FFFFFF"/>
        </w:rPr>
        <w:t>, 2005</w:t>
      </w:r>
      <w:r w:rsidRPr="005B05CA">
        <w:rPr>
          <w:rFonts w:cs="Times New Roman"/>
          <w:szCs w:val="24"/>
        </w:rPr>
        <w:t>)</w:t>
      </w:r>
      <w:r>
        <w:rPr>
          <w:rFonts w:cs="Times New Roman"/>
          <w:szCs w:val="24"/>
        </w:rPr>
        <w:t xml:space="preserve">. Higher accessibility to livelihood assets provides higher mobility which distinguishes living standard of urban areas from rural areas that are featured by homogenous culture and comparatively lower accessibility to resources and livelihood assets (Kaneko et al. 2021; </w:t>
      </w:r>
      <w:r w:rsidRPr="005B05CA">
        <w:rPr>
          <w:rFonts w:cs="Times New Roman"/>
          <w:bCs/>
          <w:spacing w:val="-5"/>
          <w:szCs w:val="24"/>
          <w:shd w:val="clear" w:color="auto" w:fill="FFFFFF"/>
        </w:rPr>
        <w:t>Ocaña-Riola</w:t>
      </w:r>
      <w:r w:rsidRPr="005B05CA">
        <w:rPr>
          <w:rFonts w:cs="Times New Roman"/>
          <w:szCs w:val="24"/>
        </w:rPr>
        <w:t xml:space="preserve"> and </w:t>
      </w:r>
      <w:r w:rsidRPr="005B05CA">
        <w:rPr>
          <w:rFonts w:cs="Times New Roman"/>
          <w:bCs/>
          <w:spacing w:val="-5"/>
          <w:szCs w:val="24"/>
          <w:shd w:val="clear" w:color="auto" w:fill="FFFFFF"/>
        </w:rPr>
        <w:t>Sánchez-Cantalejo</w:t>
      </w:r>
      <w:r>
        <w:rPr>
          <w:rFonts w:cs="Times New Roman"/>
          <w:bCs/>
          <w:spacing w:val="-5"/>
          <w:szCs w:val="24"/>
          <w:shd w:val="clear" w:color="auto" w:fill="FFFFFF"/>
        </w:rPr>
        <w:t>, 2005;</w:t>
      </w:r>
      <w:r w:rsidRPr="00DA064F">
        <w:rPr>
          <w:rFonts w:cs="Times New Roman"/>
          <w:bCs/>
          <w:spacing w:val="-5"/>
          <w:szCs w:val="24"/>
          <w:shd w:val="clear" w:color="auto" w:fill="FFFFFF"/>
        </w:rPr>
        <w:t xml:space="preserve"> </w:t>
      </w:r>
      <w:r>
        <w:rPr>
          <w:rFonts w:cs="Times New Roman"/>
          <w:bCs/>
          <w:spacing w:val="-5"/>
          <w:szCs w:val="24"/>
          <w:shd w:val="clear" w:color="auto" w:fill="FFFFFF"/>
        </w:rPr>
        <w:t>DETER, 2002;</w:t>
      </w:r>
      <w:r w:rsidRPr="00DA064F">
        <w:rPr>
          <w:rFonts w:cs="Times New Roman"/>
          <w:bCs/>
          <w:spacing w:val="-5"/>
          <w:szCs w:val="24"/>
          <w:shd w:val="clear" w:color="auto" w:fill="FFFFFF"/>
        </w:rPr>
        <w:t xml:space="preserve"> </w:t>
      </w:r>
      <w:r>
        <w:rPr>
          <w:rFonts w:cs="Times New Roman"/>
          <w:bCs/>
          <w:spacing w:val="-5"/>
          <w:szCs w:val="24"/>
          <w:shd w:val="clear" w:color="auto" w:fill="FFFFFF"/>
        </w:rPr>
        <w:t>Entrena-Dur</w:t>
      </w:r>
      <w:r w:rsidRPr="005B05CA">
        <w:rPr>
          <w:rFonts w:cs="Times New Roman"/>
          <w:bCs/>
          <w:spacing w:val="-5"/>
          <w:szCs w:val="24"/>
          <w:shd w:val="clear" w:color="auto" w:fill="FFFFFF"/>
        </w:rPr>
        <w:t>á</w:t>
      </w:r>
      <w:r>
        <w:rPr>
          <w:rFonts w:cs="Times New Roman"/>
          <w:bCs/>
          <w:spacing w:val="-5"/>
          <w:szCs w:val="24"/>
          <w:shd w:val="clear" w:color="auto" w:fill="FFFFFF"/>
        </w:rPr>
        <w:t>n, 1998; Bender et al. 1985;</w:t>
      </w:r>
      <w:r w:rsidRPr="00DA064F">
        <w:rPr>
          <w:rFonts w:cs="Times New Roman"/>
          <w:bCs/>
          <w:spacing w:val="-5"/>
          <w:szCs w:val="24"/>
          <w:shd w:val="clear" w:color="auto" w:fill="FFFFFF"/>
        </w:rPr>
        <w:t xml:space="preserve"> </w:t>
      </w:r>
      <w:r>
        <w:rPr>
          <w:rFonts w:cs="Times New Roman"/>
          <w:bCs/>
          <w:spacing w:val="-5"/>
          <w:szCs w:val="24"/>
          <w:shd w:val="clear" w:color="auto" w:fill="FFFFFF"/>
        </w:rPr>
        <w:t>Beujen and Chabot, 1963</w:t>
      </w:r>
      <w:r>
        <w:rPr>
          <w:rFonts w:cs="Times New Roman"/>
          <w:szCs w:val="24"/>
        </w:rPr>
        <w:t xml:space="preserve">). </w:t>
      </w:r>
      <w:r w:rsidR="00A157A9">
        <w:rPr>
          <w:rFonts w:cs="Times New Roman"/>
          <w:szCs w:val="24"/>
        </w:rPr>
        <w:t>Pragmatically, areas that are assumed as rural are lagged behind urban areas in terms of socio-economic development, resource distribution, physical infrastructure and resource utilization etc. So, operational definition of rural is of practical importance in development planning context where plans, policies and strategies are elicited with a view to maintain development balance between areas, resource optimization and enhancing living standards of the marginalized population of the areas (</w:t>
      </w:r>
      <w:r w:rsidR="00A157A9" w:rsidRPr="005B05CA">
        <w:rPr>
          <w:rFonts w:cs="Times New Roman"/>
          <w:bCs/>
          <w:spacing w:val="-5"/>
          <w:szCs w:val="24"/>
          <w:shd w:val="clear" w:color="auto" w:fill="FFFFFF"/>
        </w:rPr>
        <w:t>Ocaña-Riola</w:t>
      </w:r>
      <w:r w:rsidR="00A157A9" w:rsidRPr="005B05CA">
        <w:rPr>
          <w:rFonts w:cs="Times New Roman"/>
          <w:szCs w:val="24"/>
        </w:rPr>
        <w:t xml:space="preserve"> and </w:t>
      </w:r>
      <w:r w:rsidR="00A157A9" w:rsidRPr="005B05CA">
        <w:rPr>
          <w:rFonts w:cs="Times New Roman"/>
          <w:bCs/>
          <w:spacing w:val="-5"/>
          <w:szCs w:val="24"/>
          <w:shd w:val="clear" w:color="auto" w:fill="FFFFFF"/>
        </w:rPr>
        <w:t>Sánchez-Cantalejo</w:t>
      </w:r>
      <w:r w:rsidR="00A157A9">
        <w:rPr>
          <w:rFonts w:cs="Times New Roman"/>
          <w:bCs/>
          <w:spacing w:val="-5"/>
          <w:szCs w:val="24"/>
          <w:shd w:val="clear" w:color="auto" w:fill="FFFFFF"/>
        </w:rPr>
        <w:t>, 2005;</w:t>
      </w:r>
      <w:r w:rsidR="00A157A9" w:rsidRPr="00DA064F">
        <w:rPr>
          <w:rFonts w:cs="Times New Roman"/>
          <w:szCs w:val="24"/>
        </w:rPr>
        <w:t xml:space="preserve"> </w:t>
      </w:r>
      <w:r w:rsidR="00A157A9">
        <w:rPr>
          <w:rFonts w:cs="Times New Roman"/>
          <w:szCs w:val="24"/>
        </w:rPr>
        <w:t>Humphreys, 1998;</w:t>
      </w:r>
      <w:r w:rsidR="00A157A9">
        <w:rPr>
          <w:rFonts w:cs="Times New Roman"/>
          <w:bCs/>
          <w:spacing w:val="-5"/>
          <w:szCs w:val="24"/>
          <w:shd w:val="clear" w:color="auto" w:fill="FFFFFF"/>
        </w:rPr>
        <w:t xml:space="preserve"> </w:t>
      </w:r>
      <w:r w:rsidR="00A157A9">
        <w:rPr>
          <w:rFonts w:cs="Times New Roman"/>
          <w:szCs w:val="24"/>
        </w:rPr>
        <w:t xml:space="preserve">Watt and Sheldon, 1993). The importance and urgency of defining rural areas have increased even more because of the increasing socio-spatial complexity, growing environmental pressure and uncertainty on rural areas induced by changing climate, and efforts towards </w:t>
      </w:r>
      <w:r w:rsidR="00A157A9">
        <w:rPr>
          <w:rFonts w:cs="Times New Roman"/>
          <w:szCs w:val="24"/>
        </w:rPr>
        <w:lastRenderedPageBreak/>
        <w:t>sustainable development of rural communities (Harrington and O’Donoghue, 1998; Blunden et al. 1998; Department of the Environment, Ministry of Agriculture, Fisheries and Food, 1995). Besides, policy makers and researchers need to adopt pragmatic definition of rural and characterize investigated areas into different categories based on the degree of rurality with a view to target the areas effectively for implementing development policies and strategies according to their need and priority (Waldorf, 2006; Harrington and O’Donoghue, 1998) as an effort towards sustainable rural development. Understanding the factors that differentiate a place as more rural than the others is also an important quest for planners and researchers for formulating effective proposals and strategies to attain sustainability for the investigated space (Beynon et al. 2016). Efforts from scholars of different schools for educing a proper definition of rurality have been continuing for more than hundred years and yet, theoretical debate regarding the elusive term is going on (Beynon et al. 2016;</w:t>
      </w:r>
      <w:r w:rsidR="00A157A9" w:rsidRPr="00DA064F">
        <w:rPr>
          <w:rFonts w:cs="Times New Roman"/>
          <w:szCs w:val="24"/>
        </w:rPr>
        <w:t xml:space="preserve"> </w:t>
      </w:r>
      <w:r w:rsidR="00A157A9">
        <w:rPr>
          <w:rFonts w:cs="Times New Roman"/>
          <w:szCs w:val="24"/>
        </w:rPr>
        <w:t>Bluden et al. 1998; Pratt, 1996;</w:t>
      </w:r>
      <w:r w:rsidR="00A157A9" w:rsidRPr="00DA064F">
        <w:rPr>
          <w:rFonts w:cs="Times New Roman"/>
          <w:szCs w:val="24"/>
        </w:rPr>
        <w:t xml:space="preserve"> </w:t>
      </w:r>
      <w:r w:rsidR="00A157A9">
        <w:rPr>
          <w:rFonts w:cs="Times New Roman"/>
          <w:szCs w:val="24"/>
        </w:rPr>
        <w:t xml:space="preserve">Halfacree, 1993; Champion and Watkins, 1991). However, there are always some exclusive characteristics of rural areas that make it important and worthy to continue distinct </w:t>
      </w:r>
      <w:r w:rsidR="00156439">
        <w:rPr>
          <w:rFonts w:cs="Times New Roman"/>
          <w:szCs w:val="24"/>
        </w:rPr>
        <w:t>investigation on rurality and characterization of rural settings</w:t>
      </w:r>
      <w:r w:rsidR="00A157A9">
        <w:rPr>
          <w:rFonts w:cs="Times New Roman"/>
          <w:szCs w:val="24"/>
        </w:rPr>
        <w:t xml:space="preserve"> (Waldorf, 2006;</w:t>
      </w:r>
      <w:r w:rsidR="00A157A9" w:rsidRPr="00DA064F">
        <w:rPr>
          <w:rFonts w:cs="Times New Roman"/>
          <w:szCs w:val="24"/>
        </w:rPr>
        <w:t xml:space="preserve"> </w:t>
      </w:r>
      <w:r w:rsidR="00A157A9">
        <w:rPr>
          <w:rFonts w:cs="Times New Roman"/>
          <w:szCs w:val="24"/>
        </w:rPr>
        <w:t>Harrington and O’Donoghue, 1998; Champion and Watkins, 1991).</w:t>
      </w:r>
    </w:p>
    <w:p w:rsidR="00B4619B" w:rsidRDefault="00740CA6" w:rsidP="000973D0">
      <w:pPr>
        <w:rPr>
          <w:rFonts w:cs="Times New Roman"/>
          <w:szCs w:val="24"/>
        </w:rPr>
      </w:pPr>
      <w:r>
        <w:rPr>
          <w:rFonts w:cs="Times New Roman"/>
          <w:szCs w:val="24"/>
        </w:rPr>
        <w:t xml:space="preserve">Thence, this study has been performed </w:t>
      </w:r>
      <w:r w:rsidR="005578EA">
        <w:rPr>
          <w:rFonts w:cs="Times New Roman"/>
          <w:szCs w:val="24"/>
        </w:rPr>
        <w:t xml:space="preserve">to devise a rurality index </w:t>
      </w:r>
      <w:r>
        <w:rPr>
          <w:rFonts w:cs="Times New Roman"/>
          <w:szCs w:val="24"/>
        </w:rPr>
        <w:t xml:space="preserve">aiming at characterizing rural areas of the south-western region in </w:t>
      </w:r>
      <w:r w:rsidR="005578EA">
        <w:rPr>
          <w:rFonts w:cs="Times New Roman"/>
          <w:szCs w:val="24"/>
        </w:rPr>
        <w:t xml:space="preserve">Bangladesh utilizing </w:t>
      </w:r>
      <w:r>
        <w:rPr>
          <w:rFonts w:cs="Times New Roman"/>
          <w:szCs w:val="24"/>
        </w:rPr>
        <w:t>population and census data provided by Bangla</w:t>
      </w:r>
      <w:r w:rsidR="0056297A">
        <w:rPr>
          <w:rFonts w:cs="Times New Roman"/>
          <w:szCs w:val="24"/>
        </w:rPr>
        <w:t>desh Bureau of Statistics (BBS) with a view to explore if disparity exists among the areas under investigation from a func</w:t>
      </w:r>
      <w:r w:rsidR="00B70FAE">
        <w:rPr>
          <w:rFonts w:cs="Times New Roman"/>
          <w:szCs w:val="24"/>
        </w:rPr>
        <w:t>tional perspective of rurality.</w:t>
      </w:r>
      <w:r w:rsidR="00396133">
        <w:rPr>
          <w:rFonts w:cs="Times New Roman"/>
          <w:szCs w:val="24"/>
        </w:rPr>
        <w:t xml:space="preserve"> </w:t>
      </w:r>
      <w:r w:rsidR="00BC01BD">
        <w:rPr>
          <w:rFonts w:cs="Times New Roman"/>
          <w:szCs w:val="24"/>
        </w:rPr>
        <w:t xml:space="preserve">Khulna, Bagerhat and Satkhira districts have been </w:t>
      </w:r>
      <w:r w:rsidR="00BC01BD">
        <w:rPr>
          <w:rFonts w:cs="Times New Roman"/>
          <w:szCs w:val="24"/>
        </w:rPr>
        <w:lastRenderedPageBreak/>
        <w:t xml:space="preserve">selected as the case study areas for conducting the research. </w:t>
      </w:r>
      <w:r w:rsidR="00396133">
        <w:rPr>
          <w:rFonts w:cs="Times New Roman"/>
          <w:szCs w:val="24"/>
        </w:rPr>
        <w:t>Utilizing the rurality index</w:t>
      </w:r>
      <w:r w:rsidR="00BF078E">
        <w:rPr>
          <w:rFonts w:cs="Times New Roman"/>
          <w:szCs w:val="24"/>
        </w:rPr>
        <w:t>,</w:t>
      </w:r>
      <w:r w:rsidR="00396133">
        <w:rPr>
          <w:rFonts w:cs="Times New Roman"/>
          <w:szCs w:val="24"/>
        </w:rPr>
        <w:t xml:space="preserve"> this research </w:t>
      </w:r>
      <w:r w:rsidR="004B1E3F">
        <w:rPr>
          <w:rFonts w:cs="Times New Roman"/>
          <w:szCs w:val="24"/>
        </w:rPr>
        <w:t>has pursued</w:t>
      </w:r>
      <w:r w:rsidR="00386264">
        <w:rPr>
          <w:rFonts w:cs="Times New Roman"/>
          <w:szCs w:val="24"/>
        </w:rPr>
        <w:t xml:space="preserve"> clustering among th</w:t>
      </w:r>
      <w:r w:rsidR="002D7FB5">
        <w:rPr>
          <w:rFonts w:cs="Times New Roman"/>
          <w:szCs w:val="24"/>
        </w:rPr>
        <w:t xml:space="preserve">e Unions under the three investigated </w:t>
      </w:r>
      <w:r w:rsidR="00386264">
        <w:rPr>
          <w:rFonts w:cs="Times New Roman"/>
          <w:szCs w:val="24"/>
        </w:rPr>
        <w:t>districts of Khul</w:t>
      </w:r>
      <w:r w:rsidR="00FE56F2">
        <w:rPr>
          <w:rFonts w:cs="Times New Roman"/>
          <w:szCs w:val="24"/>
        </w:rPr>
        <w:t xml:space="preserve">na division. </w:t>
      </w:r>
      <w:r w:rsidR="006838CC">
        <w:rPr>
          <w:rFonts w:cs="Times New Roman"/>
          <w:szCs w:val="24"/>
        </w:rPr>
        <w:t>This study is expected to provide a glimpse of rural-urban disparity within the study area if it exists and thus to facilitate further in-depth research on characterizing rural-urban divide in the south-western region of Bangladesh.</w:t>
      </w:r>
    </w:p>
    <w:p w:rsidR="00D13CB4" w:rsidRDefault="00671425" w:rsidP="000973D0">
      <w:pPr>
        <w:rPr>
          <w:rFonts w:cs="Times New Roman"/>
          <w:szCs w:val="24"/>
        </w:rPr>
      </w:pPr>
      <w:r>
        <w:rPr>
          <w:rFonts w:cs="Times New Roman"/>
          <w:szCs w:val="24"/>
        </w:rPr>
        <w:t>As mentioned before</w:t>
      </w:r>
      <w:r w:rsidR="000E5EC6">
        <w:rPr>
          <w:rFonts w:cs="Times New Roman"/>
          <w:szCs w:val="24"/>
        </w:rPr>
        <w:t xml:space="preserve"> that characterizing rural areas is of practical importance for development authorities, planners, researchers and other concerned groups in order to formulate effective policies, strategies and as well as to perform further research on rurality-urban disparity in the face of growing socio-spatial complexity and uncertainty. Despite of this enormous importance, there is not adequate studies char</w:t>
      </w:r>
      <w:r w:rsidR="00D13CB4">
        <w:rPr>
          <w:rFonts w:cs="Times New Roman"/>
          <w:szCs w:val="24"/>
        </w:rPr>
        <w:t xml:space="preserve">acterizing rural areas and exploring underlying distinction among the areas </w:t>
      </w:r>
      <w:r w:rsidR="000E5EC6">
        <w:rPr>
          <w:rFonts w:cs="Times New Roman"/>
          <w:szCs w:val="24"/>
        </w:rPr>
        <w:t>in Bangladesh. Thorough research like ours can overcome this absence. Besides, a few resea</w:t>
      </w:r>
      <w:r w:rsidR="00D13CB4">
        <w:rPr>
          <w:rFonts w:cs="Times New Roman"/>
          <w:szCs w:val="24"/>
        </w:rPr>
        <w:t xml:space="preserve">rches on rurality </w:t>
      </w:r>
      <w:r w:rsidR="000E5EC6">
        <w:rPr>
          <w:rFonts w:cs="Times New Roman"/>
          <w:szCs w:val="24"/>
        </w:rPr>
        <w:t>and ru</w:t>
      </w:r>
      <w:r w:rsidR="00D13CB4">
        <w:rPr>
          <w:rFonts w:cs="Times New Roman"/>
          <w:szCs w:val="24"/>
        </w:rPr>
        <w:t>ral-urban delineation reported</w:t>
      </w:r>
      <w:r w:rsidR="000E5EC6">
        <w:rPr>
          <w:rFonts w:cs="Times New Roman"/>
          <w:szCs w:val="24"/>
        </w:rPr>
        <w:t xml:space="preserve"> in the literature are mostly unidimensional in nature which fails to provide a greater and more precise picture of rurality. But, this analysis has considered multidimen</w:t>
      </w:r>
      <w:r w:rsidR="00D816EE">
        <w:rPr>
          <w:rFonts w:cs="Times New Roman"/>
          <w:szCs w:val="24"/>
        </w:rPr>
        <w:t xml:space="preserve">sionality of rurality which can distinguish rural areas comprehensively and more accurately </w:t>
      </w:r>
      <w:r w:rsidR="00881BF5">
        <w:rPr>
          <w:rFonts w:cs="Times New Roman"/>
          <w:szCs w:val="24"/>
        </w:rPr>
        <w:t>(Beynon et al. 2016; Waldorf, 2006; Coombes and Raybould, 2001;</w:t>
      </w:r>
      <w:r w:rsidR="00881BF5" w:rsidRPr="00EA3EBD">
        <w:rPr>
          <w:rFonts w:cs="Times New Roman"/>
          <w:szCs w:val="24"/>
        </w:rPr>
        <w:t xml:space="preserve"> </w:t>
      </w:r>
      <w:r w:rsidR="00881BF5">
        <w:rPr>
          <w:rFonts w:cs="Times New Roman"/>
          <w:szCs w:val="24"/>
        </w:rPr>
        <w:t>Harrington and O’Donoghue, 1998)</w:t>
      </w:r>
      <w:r w:rsidR="00D26CC0">
        <w:rPr>
          <w:rFonts w:cs="Times New Roman"/>
          <w:szCs w:val="24"/>
        </w:rPr>
        <w:t xml:space="preserve"> </w:t>
      </w:r>
      <w:r w:rsidR="00D816EE">
        <w:rPr>
          <w:rFonts w:cs="Times New Roman"/>
          <w:szCs w:val="24"/>
        </w:rPr>
        <w:t>based on the degree of r</w:t>
      </w:r>
      <w:r w:rsidR="00881BF5">
        <w:rPr>
          <w:rFonts w:cs="Times New Roman"/>
          <w:szCs w:val="24"/>
        </w:rPr>
        <w:t>urality functioning in the areas</w:t>
      </w:r>
      <w:r w:rsidR="000E5EC6">
        <w:rPr>
          <w:rFonts w:cs="Times New Roman"/>
          <w:szCs w:val="24"/>
        </w:rPr>
        <w:t>. In additi</w:t>
      </w:r>
      <w:r w:rsidR="00C3086C">
        <w:rPr>
          <w:rFonts w:cs="Times New Roman"/>
          <w:szCs w:val="24"/>
        </w:rPr>
        <w:t xml:space="preserve">on, </w:t>
      </w:r>
      <w:r w:rsidR="00744A5E">
        <w:rPr>
          <w:rFonts w:cs="Times New Roman"/>
          <w:szCs w:val="24"/>
        </w:rPr>
        <w:t>apart from one-factor model</w:t>
      </w:r>
      <w:r w:rsidR="00FD072A">
        <w:rPr>
          <w:rFonts w:cs="Times New Roman"/>
          <w:szCs w:val="24"/>
        </w:rPr>
        <w:t xml:space="preserve"> (considering only the first factor)</w:t>
      </w:r>
      <w:r w:rsidR="00744A5E">
        <w:rPr>
          <w:rFonts w:cs="Times New Roman"/>
          <w:szCs w:val="24"/>
        </w:rPr>
        <w:t xml:space="preserve"> of PCA, </w:t>
      </w:r>
      <w:r w:rsidR="000E5EC6">
        <w:rPr>
          <w:rFonts w:cs="Times New Roman"/>
          <w:szCs w:val="24"/>
        </w:rPr>
        <w:t>we have</w:t>
      </w:r>
      <w:r w:rsidR="00162719">
        <w:rPr>
          <w:rFonts w:cs="Times New Roman"/>
          <w:szCs w:val="24"/>
        </w:rPr>
        <w:t xml:space="preserve"> adopted n-factor model (where n=6) of PCA fo</w:t>
      </w:r>
      <w:r w:rsidR="00744A5E">
        <w:rPr>
          <w:rFonts w:cs="Times New Roman"/>
          <w:szCs w:val="24"/>
        </w:rPr>
        <w:t xml:space="preserve">r developing the rurality index </w:t>
      </w:r>
      <w:r w:rsidR="000E5EC6">
        <w:rPr>
          <w:rFonts w:cs="Times New Roman"/>
          <w:szCs w:val="24"/>
        </w:rPr>
        <w:t>and this approach can ensure more accurate and reliable outcomes from the analysis (Beynon et al. 2016; H</w:t>
      </w:r>
      <w:r w:rsidR="00D13CB4">
        <w:rPr>
          <w:rFonts w:cs="Times New Roman"/>
          <w:szCs w:val="24"/>
        </w:rPr>
        <w:t>arrington and O’Donoghue, 1998)</w:t>
      </w:r>
      <w:r w:rsidR="000E5EC6">
        <w:rPr>
          <w:rFonts w:cs="Times New Roman"/>
          <w:szCs w:val="24"/>
        </w:rPr>
        <w:t xml:space="preserve">. Thus, our study differs from the existing </w:t>
      </w:r>
      <w:r w:rsidR="000E5EC6">
        <w:rPr>
          <w:rFonts w:cs="Times New Roman"/>
          <w:szCs w:val="24"/>
        </w:rPr>
        <w:lastRenderedPageBreak/>
        <w:t>lit</w:t>
      </w:r>
      <w:r w:rsidR="00161790">
        <w:rPr>
          <w:rFonts w:cs="Times New Roman"/>
          <w:szCs w:val="24"/>
        </w:rPr>
        <w:t xml:space="preserve">erature on rurality </w:t>
      </w:r>
      <w:r w:rsidR="0086136A">
        <w:rPr>
          <w:rFonts w:cs="Times New Roman"/>
          <w:szCs w:val="24"/>
        </w:rPr>
        <w:t xml:space="preserve">and </w:t>
      </w:r>
      <w:r w:rsidR="000E5EC6">
        <w:rPr>
          <w:rFonts w:cs="Times New Roman"/>
          <w:szCs w:val="24"/>
        </w:rPr>
        <w:t>expected to contribute in</w:t>
      </w:r>
      <w:r w:rsidR="00716193">
        <w:rPr>
          <w:rFonts w:cs="Times New Roman"/>
          <w:szCs w:val="24"/>
        </w:rPr>
        <w:t xml:space="preserve"> filling the gap in the </w:t>
      </w:r>
      <w:r w:rsidR="004F34C4">
        <w:rPr>
          <w:rFonts w:cs="Times New Roman"/>
          <w:szCs w:val="24"/>
        </w:rPr>
        <w:t>literature</w:t>
      </w:r>
      <w:r w:rsidR="000E5EC6">
        <w:rPr>
          <w:rFonts w:cs="Times New Roman"/>
          <w:szCs w:val="24"/>
        </w:rPr>
        <w:t>. B</w:t>
      </w:r>
      <w:r w:rsidR="00E231D2">
        <w:rPr>
          <w:rFonts w:cs="Times New Roman"/>
          <w:szCs w:val="24"/>
        </w:rPr>
        <w:t>esides, the outcomes of this research trigger</w:t>
      </w:r>
      <w:r w:rsidR="000E5EC6">
        <w:rPr>
          <w:rFonts w:cs="Times New Roman"/>
          <w:szCs w:val="24"/>
        </w:rPr>
        <w:t xml:space="preserve"> questions to researchers and practitioners for the significance of performing distinct r</w:t>
      </w:r>
      <w:r w:rsidR="00520510">
        <w:rPr>
          <w:rFonts w:cs="Times New Roman"/>
          <w:szCs w:val="24"/>
        </w:rPr>
        <w:t>esearch on rural-urban continuum</w:t>
      </w:r>
      <w:r w:rsidR="000E5EC6">
        <w:rPr>
          <w:rFonts w:cs="Times New Roman"/>
          <w:szCs w:val="24"/>
        </w:rPr>
        <w:t xml:space="preserve"> and the need for further development of rurality indices.</w:t>
      </w:r>
    </w:p>
    <w:p w:rsidR="00512EAF" w:rsidRDefault="00B4619B" w:rsidP="000973D0">
      <w:r>
        <w:t>Before moving on the empirical findings of the study, it is necessary to briefl</w:t>
      </w:r>
      <w:r w:rsidR="00B96847">
        <w:t>y review the literature on rurality and the metho</w:t>
      </w:r>
      <w:r w:rsidR="00884E9F">
        <w:t>d of characterizing rural areas</w:t>
      </w:r>
      <w:r w:rsidR="00B96847">
        <w:t xml:space="preserve"> </w:t>
      </w:r>
      <w:r w:rsidR="00884E9F">
        <w:t xml:space="preserve">for better conceptualization. </w:t>
      </w:r>
      <w:r w:rsidR="00FF486A">
        <w:t>The next section therefore briefly discusses literature on both rurality and the measurement of rurality</w:t>
      </w:r>
      <w:r w:rsidR="00831625">
        <w:t>. The research method including description of the study area and development of the rurality index</w:t>
      </w:r>
      <w:r w:rsidR="00817807">
        <w:t xml:space="preserve"> have</w:t>
      </w:r>
      <w:r w:rsidR="00831625">
        <w:t xml:space="preserve"> been introduced in section three.</w:t>
      </w:r>
      <w:r w:rsidR="00BA5CF0">
        <w:t xml:space="preserve"> </w:t>
      </w:r>
      <w:r w:rsidR="0047049E">
        <w:t xml:space="preserve">The findings educed from this research have been illustrated </w:t>
      </w:r>
      <w:r w:rsidR="000F3FDC">
        <w:t xml:space="preserve">in section four and </w:t>
      </w:r>
      <w:r w:rsidR="00765BF2">
        <w:t>relevant discussion</w:t>
      </w:r>
      <w:r w:rsidR="00BA00B9">
        <w:t>s</w:t>
      </w:r>
      <w:r w:rsidR="000F3FDC">
        <w:t xml:space="preserve"> in the subsequent section</w:t>
      </w:r>
      <w:r w:rsidR="00BA00B9">
        <w:t xml:space="preserve">. </w:t>
      </w:r>
      <w:r w:rsidR="00B6708B">
        <w:t>Finally, t</w:t>
      </w:r>
      <w:r w:rsidR="00BA00B9">
        <w:t>h</w:t>
      </w:r>
      <w:r w:rsidR="00AD1E51">
        <w:t xml:space="preserve">e </w:t>
      </w:r>
      <w:r w:rsidR="00B6708B">
        <w:t>paper comes to t</w:t>
      </w:r>
      <w:r w:rsidR="00530484">
        <w:t>he concluding point in section six</w:t>
      </w:r>
      <w:r w:rsidR="00B6708B">
        <w:t>.</w:t>
      </w:r>
    </w:p>
    <w:p w:rsidR="00512EAF" w:rsidRDefault="00512EAF" w:rsidP="00512EAF">
      <w:pPr>
        <w:pStyle w:val="Heading1"/>
        <w:rPr>
          <w:rFonts w:ascii="Times New Roman" w:hAnsi="Times New Roman" w:cs="Times New Roman"/>
          <w:b/>
          <w:color w:val="auto"/>
          <w:sz w:val="24"/>
          <w:szCs w:val="24"/>
        </w:rPr>
      </w:pPr>
      <w:r>
        <w:rPr>
          <w:rFonts w:ascii="Times New Roman" w:hAnsi="Times New Roman" w:cs="Times New Roman"/>
          <w:b/>
          <w:color w:val="auto"/>
          <w:sz w:val="24"/>
          <w:szCs w:val="24"/>
        </w:rPr>
        <w:t>2. Conceptual framework</w:t>
      </w:r>
    </w:p>
    <w:p w:rsidR="00FA5A7E" w:rsidRDefault="008031DF" w:rsidP="00512EAF">
      <w:pPr>
        <w:rPr>
          <w:rFonts w:cs="Times New Roman"/>
          <w:szCs w:val="24"/>
        </w:rPr>
      </w:pPr>
      <w:r>
        <w:t>Ru</w:t>
      </w:r>
      <w:r w:rsidR="006C0ACF">
        <w:t>rality,</w:t>
      </w:r>
      <w:r w:rsidR="006C0ACF" w:rsidRPr="006C0ACF">
        <w:t xml:space="preserve"> </w:t>
      </w:r>
      <w:r w:rsidR="006C0ACF">
        <w:t xml:space="preserve">in contrast of urbanity </w:t>
      </w:r>
      <w:r>
        <w:t>is defined differently under different theoretical foundations, which are most often confli</w:t>
      </w:r>
      <w:r w:rsidR="00427068">
        <w:t xml:space="preserve">cting </w:t>
      </w:r>
      <w:r>
        <w:t>in nature (</w:t>
      </w:r>
      <w:r>
        <w:rPr>
          <w:rFonts w:cs="Times New Roman"/>
          <w:szCs w:val="24"/>
        </w:rPr>
        <w:t>Harrington and O’Donoghue, 1998</w:t>
      </w:r>
      <w:r>
        <w:t>). As a result, the concept of rurality remains vague. Being rural as opposed to urban is an attribute that people easily attach to a place based on their own perceptions, which include low population density, remoteness from urban areas, extensive landscape, lower degree of physical infrastructures and limited public amenities and utilities</w:t>
      </w:r>
      <w:r w:rsidR="005B0B3A">
        <w:t xml:space="preserve"> etc.</w:t>
      </w:r>
      <w:r>
        <w:t xml:space="preserve"> (Wallace et al. 2010; Waldorf, 2006; Casey et al. 2001; Zhang et al. 2000). But, researchers and policy makers have to adopt empirical conception </w:t>
      </w:r>
      <w:r w:rsidR="005B0B3A">
        <w:t>of rur</w:t>
      </w:r>
      <w:r w:rsidR="000C4674">
        <w:t xml:space="preserve">ality </w:t>
      </w:r>
      <w:r>
        <w:t xml:space="preserve">rather than the customary definitions, otherwise the research outputs, policies and strategies educed based on the conceptions will fail to achieve aimed purposes </w:t>
      </w:r>
      <w:r>
        <w:lastRenderedPageBreak/>
        <w:t>(Gallant and Robinson, 2011; Agarwal et al. 2009; Argent, 2008; Waldorf, 2006; Isserman, 2005). From demographic perspective, rurality is distinguished from urbanity based on absolute population size which has been proposed to be replaced by population density to ensure better assessment of rurality (</w:t>
      </w:r>
      <w:r w:rsidRPr="005B05CA">
        <w:rPr>
          <w:rFonts w:cs="Times New Roman"/>
          <w:bCs/>
          <w:spacing w:val="-5"/>
          <w:szCs w:val="24"/>
          <w:shd w:val="clear" w:color="auto" w:fill="FFFFFF"/>
        </w:rPr>
        <w:t>Ocaña-Riola</w:t>
      </w:r>
      <w:r w:rsidRPr="005B05CA">
        <w:rPr>
          <w:rFonts w:cs="Times New Roman"/>
          <w:szCs w:val="24"/>
        </w:rPr>
        <w:t xml:space="preserve"> and </w:t>
      </w:r>
      <w:r w:rsidRPr="005B05CA">
        <w:rPr>
          <w:rFonts w:cs="Times New Roman"/>
          <w:bCs/>
          <w:spacing w:val="-5"/>
          <w:szCs w:val="24"/>
          <w:shd w:val="clear" w:color="auto" w:fill="FFFFFF"/>
        </w:rPr>
        <w:t>Sánchez-Cantalejo</w:t>
      </w:r>
      <w:r>
        <w:rPr>
          <w:rFonts w:cs="Times New Roman"/>
          <w:bCs/>
          <w:spacing w:val="-5"/>
          <w:szCs w:val="24"/>
          <w:shd w:val="clear" w:color="auto" w:fill="FFFFFF"/>
        </w:rPr>
        <w:t xml:space="preserve">, 2005; Hugo et al. 2003; </w:t>
      </w:r>
      <w:r>
        <w:rPr>
          <w:rFonts w:cs="Times New Roman"/>
          <w:szCs w:val="24"/>
        </w:rPr>
        <w:t>Harrington and O’Donoghue, 1998). However, issues raise as there is no absolute threshold for population density or population size which can define an area as rural or urban (Beynon et al. 2016;</w:t>
      </w:r>
      <w:r w:rsidRPr="00242084">
        <w:rPr>
          <w:rFonts w:cs="Times New Roman"/>
          <w:szCs w:val="24"/>
        </w:rPr>
        <w:t xml:space="preserve"> </w:t>
      </w:r>
      <w:r>
        <w:rPr>
          <w:rFonts w:cs="Times New Roman"/>
          <w:szCs w:val="24"/>
        </w:rPr>
        <w:t xml:space="preserve">Waldorf, 2006; </w:t>
      </w:r>
      <w:r w:rsidRPr="005B05CA">
        <w:rPr>
          <w:rFonts w:cs="Times New Roman"/>
          <w:bCs/>
          <w:spacing w:val="-5"/>
          <w:szCs w:val="24"/>
          <w:shd w:val="clear" w:color="auto" w:fill="FFFFFF"/>
        </w:rPr>
        <w:t>Ocaña-Riola</w:t>
      </w:r>
      <w:r w:rsidRPr="005B05CA">
        <w:rPr>
          <w:rFonts w:cs="Times New Roman"/>
          <w:szCs w:val="24"/>
        </w:rPr>
        <w:t xml:space="preserve"> and </w:t>
      </w:r>
      <w:r w:rsidRPr="005B05CA">
        <w:rPr>
          <w:rFonts w:cs="Times New Roman"/>
          <w:bCs/>
          <w:spacing w:val="-5"/>
          <w:szCs w:val="24"/>
          <w:shd w:val="clear" w:color="auto" w:fill="FFFFFF"/>
        </w:rPr>
        <w:t>Sánchez-Cantalejo</w:t>
      </w:r>
      <w:r>
        <w:rPr>
          <w:rFonts w:cs="Times New Roman"/>
          <w:bCs/>
          <w:spacing w:val="-5"/>
          <w:szCs w:val="24"/>
          <w:shd w:val="clear" w:color="auto" w:fill="FFFFFF"/>
        </w:rPr>
        <w:t>, 2005; Martin, 2000</w:t>
      </w:r>
      <w:r>
        <w:rPr>
          <w:rFonts w:cs="Times New Roman"/>
          <w:szCs w:val="24"/>
        </w:rPr>
        <w:t>). Besides, other dimensions of rurality such as socio-culture, economy, spatial distribution</w:t>
      </w:r>
      <w:r w:rsidR="006C0ACF">
        <w:rPr>
          <w:rFonts w:cs="Times New Roman"/>
          <w:szCs w:val="24"/>
        </w:rPr>
        <w:t>, politics</w:t>
      </w:r>
      <w:r>
        <w:rPr>
          <w:rFonts w:cs="Times New Roman"/>
          <w:szCs w:val="24"/>
        </w:rPr>
        <w:t xml:space="preserve"> etc. are ignored in this approach which questions the reliability of the concept (Waldorf, 2006; </w:t>
      </w:r>
      <w:r w:rsidRPr="005B05CA">
        <w:rPr>
          <w:rFonts w:cs="Times New Roman"/>
          <w:bCs/>
          <w:spacing w:val="-5"/>
          <w:szCs w:val="24"/>
          <w:shd w:val="clear" w:color="auto" w:fill="FFFFFF"/>
        </w:rPr>
        <w:t>Ocaña-Riola</w:t>
      </w:r>
      <w:r w:rsidRPr="005B05CA">
        <w:rPr>
          <w:rFonts w:cs="Times New Roman"/>
          <w:szCs w:val="24"/>
        </w:rPr>
        <w:t xml:space="preserve"> and </w:t>
      </w:r>
      <w:r w:rsidRPr="005B05CA">
        <w:rPr>
          <w:rFonts w:cs="Times New Roman"/>
          <w:bCs/>
          <w:spacing w:val="-5"/>
          <w:szCs w:val="24"/>
          <w:shd w:val="clear" w:color="auto" w:fill="FFFFFF"/>
        </w:rPr>
        <w:t>Sánchez-Cantalejo</w:t>
      </w:r>
      <w:r>
        <w:rPr>
          <w:rFonts w:cs="Times New Roman"/>
          <w:bCs/>
          <w:spacing w:val="-5"/>
          <w:szCs w:val="24"/>
          <w:shd w:val="clear" w:color="auto" w:fill="FFFFFF"/>
        </w:rPr>
        <w:t>, 2005; Hugo et al. 2003; Martin et al. 2000</w:t>
      </w:r>
      <w:r>
        <w:rPr>
          <w:rFonts w:cs="Times New Roman"/>
          <w:szCs w:val="24"/>
        </w:rPr>
        <w:t>). An interesting theory was groun</w:t>
      </w:r>
      <w:r w:rsidR="006C0ACF">
        <w:rPr>
          <w:rFonts w:cs="Times New Roman"/>
          <w:szCs w:val="24"/>
        </w:rPr>
        <w:t>ded in the 1940</w:t>
      </w:r>
      <w:r>
        <w:rPr>
          <w:rFonts w:cs="Times New Roman"/>
          <w:szCs w:val="24"/>
        </w:rPr>
        <w:t>s, termed as rural-urban continuum (Redfield, 1941) which argues that rural areas are transformed into urban areas though successive spatiotemporal changes and thus no real gap between rural and urban is acceptable rather than a continuum (</w:t>
      </w:r>
      <w:r w:rsidRPr="005B05CA">
        <w:rPr>
          <w:rFonts w:cs="Times New Roman"/>
          <w:bCs/>
          <w:spacing w:val="-5"/>
          <w:szCs w:val="24"/>
          <w:shd w:val="clear" w:color="auto" w:fill="FFFFFF"/>
        </w:rPr>
        <w:t>Ocaña-Riola</w:t>
      </w:r>
      <w:r w:rsidRPr="005B05CA">
        <w:rPr>
          <w:rFonts w:cs="Times New Roman"/>
          <w:szCs w:val="24"/>
        </w:rPr>
        <w:t xml:space="preserve"> and </w:t>
      </w:r>
      <w:r w:rsidRPr="005B05CA">
        <w:rPr>
          <w:rFonts w:cs="Times New Roman"/>
          <w:bCs/>
          <w:spacing w:val="-5"/>
          <w:szCs w:val="24"/>
          <w:shd w:val="clear" w:color="auto" w:fill="FFFFFF"/>
        </w:rPr>
        <w:t>Sánchez-Cantalejo</w:t>
      </w:r>
      <w:r>
        <w:rPr>
          <w:rFonts w:cs="Times New Roman"/>
          <w:bCs/>
          <w:spacing w:val="-5"/>
          <w:szCs w:val="24"/>
          <w:shd w:val="clear" w:color="auto" w:fill="FFFFFF"/>
        </w:rPr>
        <w:t>, 2005; Entrena-Durán, 1998;</w:t>
      </w:r>
      <w:r w:rsidRPr="00EC7DC2">
        <w:rPr>
          <w:rFonts w:cs="Times New Roman"/>
          <w:bCs/>
          <w:spacing w:val="-5"/>
          <w:szCs w:val="24"/>
          <w:shd w:val="clear" w:color="auto" w:fill="FFFFFF"/>
        </w:rPr>
        <w:t xml:space="preserve"> </w:t>
      </w:r>
      <w:r>
        <w:rPr>
          <w:rFonts w:cs="Times New Roman"/>
          <w:bCs/>
          <w:spacing w:val="-5"/>
          <w:szCs w:val="24"/>
          <w:shd w:val="clear" w:color="auto" w:fill="FFFFFF"/>
        </w:rPr>
        <w:t>Hewitt, 1989</w:t>
      </w:r>
      <w:r>
        <w:rPr>
          <w:rFonts w:cs="Times New Roman"/>
          <w:szCs w:val="24"/>
        </w:rPr>
        <w:t>). Moreover, the rural-urban continuum theory recognizes the multidimensi</w:t>
      </w:r>
      <w:r w:rsidR="006C0ACF">
        <w:rPr>
          <w:rFonts w:cs="Times New Roman"/>
          <w:szCs w:val="24"/>
        </w:rPr>
        <w:t xml:space="preserve">onality of rurality </w:t>
      </w:r>
      <w:r>
        <w:rPr>
          <w:rFonts w:cs="Times New Roman"/>
          <w:szCs w:val="24"/>
        </w:rPr>
        <w:t>and suggests to treat rural and urban as the two opposite ends of a continuum that describes the spatial distribution of a country or region (</w:t>
      </w:r>
      <w:r>
        <w:t xml:space="preserve">Waldorf, 2006; </w:t>
      </w:r>
      <w:r w:rsidRPr="005B05CA">
        <w:rPr>
          <w:rFonts w:cs="Times New Roman"/>
          <w:bCs/>
          <w:spacing w:val="-5"/>
          <w:szCs w:val="24"/>
          <w:shd w:val="clear" w:color="auto" w:fill="FFFFFF"/>
        </w:rPr>
        <w:t>Ocaña-Riola</w:t>
      </w:r>
      <w:r w:rsidRPr="005B05CA">
        <w:rPr>
          <w:rFonts w:cs="Times New Roman"/>
          <w:szCs w:val="24"/>
        </w:rPr>
        <w:t xml:space="preserve"> and </w:t>
      </w:r>
      <w:r w:rsidRPr="005B05CA">
        <w:rPr>
          <w:rFonts w:cs="Times New Roman"/>
          <w:bCs/>
          <w:spacing w:val="-5"/>
          <w:szCs w:val="24"/>
          <w:shd w:val="clear" w:color="auto" w:fill="FFFFFF"/>
        </w:rPr>
        <w:t>Sánchez-Cantalejo</w:t>
      </w:r>
      <w:r>
        <w:rPr>
          <w:rFonts w:cs="Times New Roman"/>
          <w:bCs/>
          <w:spacing w:val="-5"/>
          <w:szCs w:val="24"/>
          <w:shd w:val="clear" w:color="auto" w:fill="FFFFFF"/>
        </w:rPr>
        <w:t>, 2005; García-Sanz, 1994; Pérez-Yruela, 1990; Hewitt, 1989</w:t>
      </w:r>
      <w:r>
        <w:rPr>
          <w:rFonts w:cs="Times New Roman"/>
          <w:szCs w:val="24"/>
        </w:rPr>
        <w:t>). The spatial ca</w:t>
      </w:r>
      <w:r w:rsidR="006C0ACF">
        <w:rPr>
          <w:rFonts w:cs="Times New Roman"/>
          <w:szCs w:val="24"/>
        </w:rPr>
        <w:t xml:space="preserve">tegorization of rural </w:t>
      </w:r>
      <w:r>
        <w:rPr>
          <w:rFonts w:cs="Times New Roman"/>
          <w:szCs w:val="24"/>
        </w:rPr>
        <w:t xml:space="preserve">based on rigid geographical typologies has been further criticized by the post-structuralist and post-modernist perspectives raising the argument that these traditional conceptions of rurality cannot apprehend the transitional nature of rural communities where social relations are subjected to be altered continuously (Harrington and </w:t>
      </w:r>
      <w:r>
        <w:rPr>
          <w:rFonts w:cs="Times New Roman"/>
          <w:szCs w:val="24"/>
        </w:rPr>
        <w:lastRenderedPageBreak/>
        <w:t>O’Donoghue, 1998; Murdoch a</w:t>
      </w:r>
      <w:r w:rsidR="006052E9">
        <w:rPr>
          <w:rFonts w:cs="Times New Roman"/>
          <w:szCs w:val="24"/>
        </w:rPr>
        <w:t xml:space="preserve">nd Pratt, 1993). From </w:t>
      </w:r>
      <w:r w:rsidR="00984C07">
        <w:rPr>
          <w:rFonts w:cs="Times New Roman"/>
          <w:szCs w:val="24"/>
        </w:rPr>
        <w:t>political-economic perspective,</w:t>
      </w:r>
      <w:r>
        <w:rPr>
          <w:rFonts w:cs="Times New Roman"/>
          <w:szCs w:val="24"/>
        </w:rPr>
        <w:t xml:space="preserve"> </w:t>
      </w:r>
      <w:r w:rsidR="00CF6EF2">
        <w:rPr>
          <w:rFonts w:cs="Times New Roman"/>
          <w:szCs w:val="24"/>
        </w:rPr>
        <w:t xml:space="preserve">rural </w:t>
      </w:r>
      <w:r w:rsidR="00984C07">
        <w:rPr>
          <w:rFonts w:cs="Times New Roman"/>
          <w:szCs w:val="24"/>
        </w:rPr>
        <w:t xml:space="preserve">is </w:t>
      </w:r>
      <w:r w:rsidR="00CF6EF2">
        <w:rPr>
          <w:rFonts w:cs="Times New Roman"/>
          <w:szCs w:val="24"/>
        </w:rPr>
        <w:t xml:space="preserve">mainly </w:t>
      </w:r>
      <w:r w:rsidR="00984C07">
        <w:rPr>
          <w:rFonts w:cs="Times New Roman"/>
          <w:szCs w:val="24"/>
        </w:rPr>
        <w:t xml:space="preserve">perceived </w:t>
      </w:r>
      <w:r w:rsidR="00CF6EF2">
        <w:rPr>
          <w:rFonts w:cs="Times New Roman"/>
          <w:szCs w:val="24"/>
        </w:rPr>
        <w:t>as the sequel of</w:t>
      </w:r>
      <w:r w:rsidR="008839C6">
        <w:rPr>
          <w:rFonts w:cs="Times New Roman"/>
          <w:szCs w:val="24"/>
        </w:rPr>
        <w:t xml:space="preserve"> </w:t>
      </w:r>
      <w:r w:rsidR="00CF6EF2">
        <w:rPr>
          <w:rFonts w:cs="Times New Roman"/>
          <w:szCs w:val="24"/>
        </w:rPr>
        <w:t xml:space="preserve">social, cultural and political formation </w:t>
      </w:r>
      <w:r>
        <w:rPr>
          <w:rFonts w:cs="Times New Roman"/>
          <w:szCs w:val="24"/>
        </w:rPr>
        <w:t>and thus focus is</w:t>
      </w:r>
      <w:r w:rsidR="008839C6">
        <w:rPr>
          <w:rFonts w:cs="Times New Roman"/>
          <w:szCs w:val="24"/>
        </w:rPr>
        <w:t xml:space="preserve"> concentrated to understand how socio-political, cultural and moral values shape rural areas</w:t>
      </w:r>
      <w:r w:rsidR="00CF6EF2">
        <w:rPr>
          <w:rFonts w:cs="Times New Roman"/>
          <w:szCs w:val="24"/>
        </w:rPr>
        <w:t xml:space="preserve"> </w:t>
      </w:r>
      <w:r>
        <w:rPr>
          <w:rFonts w:cs="Times New Roman"/>
          <w:szCs w:val="24"/>
        </w:rPr>
        <w:t>(</w:t>
      </w:r>
      <w:r w:rsidR="006D0E84">
        <w:rPr>
          <w:rFonts w:cs="Times New Roman"/>
          <w:szCs w:val="24"/>
        </w:rPr>
        <w:t xml:space="preserve">Woods, 2009; </w:t>
      </w:r>
      <w:r w:rsidR="008839C6">
        <w:rPr>
          <w:rFonts w:cs="Times New Roman"/>
          <w:szCs w:val="24"/>
        </w:rPr>
        <w:t xml:space="preserve">Cloke 2006; </w:t>
      </w:r>
      <w:r>
        <w:rPr>
          <w:rFonts w:cs="Times New Roman"/>
          <w:szCs w:val="24"/>
        </w:rPr>
        <w:t>Murdoch and Pratt, 1993). Thus, there is still no concrete border where r</w:t>
      </w:r>
      <w:r w:rsidR="00311A42">
        <w:rPr>
          <w:rFonts w:cs="Times New Roman"/>
          <w:szCs w:val="24"/>
        </w:rPr>
        <w:t xml:space="preserve">urality </w:t>
      </w:r>
      <w:r>
        <w:rPr>
          <w:rFonts w:cs="Times New Roman"/>
          <w:szCs w:val="24"/>
        </w:rPr>
        <w:t>begins</w:t>
      </w:r>
      <w:r w:rsidR="00311A42">
        <w:rPr>
          <w:rFonts w:cs="Times New Roman"/>
          <w:szCs w:val="24"/>
        </w:rPr>
        <w:t xml:space="preserve"> and disappears</w:t>
      </w:r>
      <w:r>
        <w:rPr>
          <w:rFonts w:cs="Times New Roman"/>
          <w:szCs w:val="24"/>
        </w:rPr>
        <w:t>. Moreover, relation between rurality and urbanity has become more complex as rural and urban areas now share many common grounds of socio-economy and political structures.</w:t>
      </w:r>
      <w:r w:rsidR="00166F7B">
        <w:rPr>
          <w:rFonts w:cs="Times New Roman"/>
          <w:szCs w:val="24"/>
        </w:rPr>
        <w:t xml:space="preserve"> </w:t>
      </w:r>
      <w:r>
        <w:rPr>
          <w:rFonts w:cs="Times New Roman"/>
          <w:szCs w:val="24"/>
        </w:rPr>
        <w:t>These discrepancies in conce</w:t>
      </w:r>
      <w:r w:rsidR="00166F7B">
        <w:rPr>
          <w:rFonts w:cs="Times New Roman"/>
          <w:szCs w:val="24"/>
        </w:rPr>
        <w:t xml:space="preserve">ptualization of rural </w:t>
      </w:r>
      <w:r>
        <w:rPr>
          <w:rFonts w:cs="Times New Roman"/>
          <w:szCs w:val="24"/>
        </w:rPr>
        <w:t xml:space="preserve">disclose the immense importance and demand of performing comprehensive research on </w:t>
      </w:r>
      <w:r w:rsidR="00FE7BF6">
        <w:rPr>
          <w:rFonts w:cs="Times New Roman"/>
          <w:szCs w:val="24"/>
        </w:rPr>
        <w:t xml:space="preserve">rurality </w:t>
      </w:r>
      <w:r>
        <w:rPr>
          <w:rFonts w:cs="Times New Roman"/>
          <w:szCs w:val="24"/>
        </w:rPr>
        <w:t>aiming at evolving methodology which can be utilized for characterizin</w:t>
      </w:r>
      <w:r w:rsidR="00FE7BF6">
        <w:rPr>
          <w:rFonts w:cs="Times New Roman"/>
          <w:szCs w:val="24"/>
        </w:rPr>
        <w:t>g rural areas under</w:t>
      </w:r>
      <w:r>
        <w:rPr>
          <w:rFonts w:cs="Times New Roman"/>
          <w:szCs w:val="24"/>
        </w:rPr>
        <w:t xml:space="preserve"> </w:t>
      </w:r>
      <w:r w:rsidR="00FE7BF6">
        <w:rPr>
          <w:rFonts w:cs="Times New Roman"/>
          <w:szCs w:val="24"/>
        </w:rPr>
        <w:t xml:space="preserve">a reliable typology </w:t>
      </w:r>
      <w:r>
        <w:rPr>
          <w:rFonts w:cs="Times New Roman"/>
          <w:szCs w:val="24"/>
        </w:rPr>
        <w:t>(</w:t>
      </w:r>
      <w:r w:rsidRPr="005B05CA">
        <w:rPr>
          <w:rFonts w:cs="Times New Roman"/>
          <w:bCs/>
          <w:spacing w:val="-5"/>
          <w:szCs w:val="24"/>
          <w:shd w:val="clear" w:color="auto" w:fill="FFFFFF"/>
        </w:rPr>
        <w:t>Ocaña-Riola</w:t>
      </w:r>
      <w:r w:rsidRPr="005B05CA">
        <w:rPr>
          <w:rFonts w:cs="Times New Roman"/>
          <w:szCs w:val="24"/>
        </w:rPr>
        <w:t xml:space="preserve"> and </w:t>
      </w:r>
      <w:r w:rsidRPr="005B05CA">
        <w:rPr>
          <w:rFonts w:cs="Times New Roman"/>
          <w:bCs/>
          <w:spacing w:val="-5"/>
          <w:szCs w:val="24"/>
          <w:shd w:val="clear" w:color="auto" w:fill="FFFFFF"/>
        </w:rPr>
        <w:t>Sánchez-Cantalejo</w:t>
      </w:r>
      <w:r>
        <w:rPr>
          <w:rFonts w:cs="Times New Roman"/>
          <w:bCs/>
          <w:spacing w:val="-5"/>
          <w:szCs w:val="24"/>
          <w:shd w:val="clear" w:color="auto" w:fill="FFFFFF"/>
        </w:rPr>
        <w:t>, 2005</w:t>
      </w:r>
      <w:r>
        <w:rPr>
          <w:rFonts w:cs="Times New Roman"/>
          <w:szCs w:val="24"/>
        </w:rPr>
        <w:t>).</w:t>
      </w:r>
      <w:r w:rsidR="00FC48CB">
        <w:rPr>
          <w:rFonts w:cs="Times New Roman"/>
          <w:szCs w:val="24"/>
        </w:rPr>
        <w:t xml:space="preserve"> </w:t>
      </w:r>
      <w:r w:rsidR="006C2053">
        <w:rPr>
          <w:rFonts w:cs="Times New Roman"/>
          <w:szCs w:val="24"/>
        </w:rPr>
        <w:t>In this study, rurality has been explored from functional</w:t>
      </w:r>
      <w:r w:rsidR="00A96F54">
        <w:rPr>
          <w:rFonts w:cs="Times New Roman"/>
          <w:szCs w:val="24"/>
        </w:rPr>
        <w:t xml:space="preserve"> perspective where</w:t>
      </w:r>
      <w:r w:rsidR="006C3AEB">
        <w:rPr>
          <w:rFonts w:cs="Times New Roman"/>
          <w:szCs w:val="24"/>
        </w:rPr>
        <w:t xml:space="preserve"> </w:t>
      </w:r>
      <w:r w:rsidR="00E15FE3">
        <w:rPr>
          <w:rFonts w:cs="Times New Roman"/>
          <w:szCs w:val="24"/>
        </w:rPr>
        <w:t xml:space="preserve">rural </w:t>
      </w:r>
      <w:r w:rsidR="006C3AEB">
        <w:rPr>
          <w:rFonts w:cs="Times New Roman"/>
          <w:szCs w:val="24"/>
        </w:rPr>
        <w:t>is defined through its distinctive functional characteristics</w:t>
      </w:r>
      <w:r w:rsidR="008C196E">
        <w:rPr>
          <w:rFonts w:cs="Times New Roman"/>
          <w:szCs w:val="24"/>
        </w:rPr>
        <w:t xml:space="preserve"> (Woods, 2009)</w:t>
      </w:r>
      <w:r w:rsidR="002130BF">
        <w:rPr>
          <w:rFonts w:cs="Times New Roman"/>
          <w:szCs w:val="24"/>
        </w:rPr>
        <w:t>.</w:t>
      </w:r>
      <w:r w:rsidR="00FD4023">
        <w:rPr>
          <w:rFonts w:cs="Times New Roman"/>
          <w:szCs w:val="24"/>
        </w:rPr>
        <w:t xml:space="preserve"> Higher level of functionality of rural characteristics shapes a geographical setting with higher level of rurality and the lower the functionality, the</w:t>
      </w:r>
      <w:r w:rsidR="0058456B">
        <w:rPr>
          <w:rFonts w:cs="Times New Roman"/>
          <w:szCs w:val="24"/>
        </w:rPr>
        <w:t xml:space="preserve"> more non-rural one area becomes</w:t>
      </w:r>
      <w:r w:rsidR="00FD4023">
        <w:rPr>
          <w:rFonts w:cs="Times New Roman"/>
          <w:szCs w:val="24"/>
        </w:rPr>
        <w:t xml:space="preserve">- this </w:t>
      </w:r>
      <w:r w:rsidR="00F14344">
        <w:rPr>
          <w:rFonts w:cs="Times New Roman"/>
          <w:szCs w:val="24"/>
        </w:rPr>
        <w:t xml:space="preserve">theoretical </w:t>
      </w:r>
      <w:r w:rsidR="00FD4023">
        <w:rPr>
          <w:rFonts w:cs="Times New Roman"/>
          <w:szCs w:val="24"/>
        </w:rPr>
        <w:t xml:space="preserve">notion has </w:t>
      </w:r>
      <w:r w:rsidR="00C26C07">
        <w:rPr>
          <w:rFonts w:cs="Times New Roman"/>
          <w:szCs w:val="24"/>
        </w:rPr>
        <w:t>been perceived</w:t>
      </w:r>
      <w:r w:rsidR="00F14344">
        <w:rPr>
          <w:rFonts w:cs="Times New Roman"/>
          <w:szCs w:val="24"/>
        </w:rPr>
        <w:t xml:space="preserve"> </w:t>
      </w:r>
      <w:r w:rsidR="0058456B">
        <w:rPr>
          <w:rFonts w:cs="Times New Roman"/>
          <w:szCs w:val="24"/>
        </w:rPr>
        <w:t>in</w:t>
      </w:r>
      <w:r w:rsidR="00FD4023">
        <w:rPr>
          <w:rFonts w:cs="Times New Roman"/>
          <w:szCs w:val="24"/>
        </w:rPr>
        <w:t xml:space="preserve"> this research.</w:t>
      </w:r>
    </w:p>
    <w:p w:rsidR="00A201DA" w:rsidRDefault="00FA5A7E" w:rsidP="00FD507F">
      <w:pPr>
        <w:rPr>
          <w:rFonts w:cs="Times New Roman"/>
          <w:szCs w:val="24"/>
        </w:rPr>
      </w:pPr>
      <w:r>
        <w:rPr>
          <w:rFonts w:cs="Times New Roman"/>
          <w:szCs w:val="24"/>
        </w:rPr>
        <w:t xml:space="preserve">Literature of rural studies shows that the need and significance of carrying out distinct research on rural areas have been established by one notion of scholars that rural context is distinctive from urban context (Champion and Watkins, 1991). In this circumstance, developing methods for measuring and categorizing rurality has evolved as a particular area of interest for the researchers and a significant contribution has been made during the last three decades (Beynon et al. 2016). Redfileds’ (1941) rural-urban continuum model provided the conceptual framework </w:t>
      </w:r>
      <w:r>
        <w:rPr>
          <w:rFonts w:cs="Times New Roman"/>
          <w:szCs w:val="24"/>
        </w:rPr>
        <w:lastRenderedPageBreak/>
        <w:t>based on which diverse rurality indices have been generated over the time. Rurality indices focus on distinguishing places based on the degree of rurality rather than dichotomous demarcation of rural and urban. The multidimensionality of rurality (Waldorf, 2006) and presence of a number of conflicting and alternative theoretical perspectives of rural (Kaneko et al. 2021) have imposed enormous challenges in formulation of rurality i</w:t>
      </w:r>
      <w:r w:rsidR="00E511F8">
        <w:rPr>
          <w:rFonts w:cs="Times New Roman"/>
          <w:szCs w:val="24"/>
        </w:rPr>
        <w:t>ndices</w:t>
      </w:r>
      <w:r>
        <w:rPr>
          <w:rFonts w:cs="Times New Roman"/>
          <w:szCs w:val="24"/>
        </w:rPr>
        <w:t xml:space="preserve">. The first rurality index was developed in England by the Department of the Environment for investigating rural areas and small towns of England and Wales using only three variables (DOE, 1971 &amp; 1972). However, Clokes’ rurality index (1977) was the first significant and innovative contribution to the measures of rurality (Galluzzo, 2019; Beynon et al. 2016) and widely used by researchers (Beynon et al. 2016; Harrington and O’Donoghue, 1998; Phillips and Williams, 1984; Pacione, 1984; Gilg, 1983; Best, 1981; Hodge and Whitby, 1981; Bannister, 1980; Moseley, 1979; Shaw, 1979) for investigation of rural areas within a rural-urban continuum. It is a quantitative measurement based on principal component analysis (PCA) having a quartile classification system ranging from ‘extreme’ rural to ‘extreme non-rural’ categories (Harrington and O’Donoghue, 1998; Cloke and Edwards, 1986; Cloke, 1977). The major advantage of utilizing PCA for developing the rurality index is that it itself determines and justifies the individual contribution of each indicator under each dimension or factor of rurality and thus the researcher do not need to pre-judge the outcomes of the study (Beynon et al. 2016; Harrington and O’Donoghue, 1998). However, scholarly literature has acknowledged the inherent methodological drawbacks of indexing approach of rurality measurement (Beynon et al. 2016; Harrington and O’Donoghue, 1998; Cloke and Edwards, 1986; Cloke, 1977). Although the indexing approach is technically sophisticated, selection of rurality (or </w:t>
      </w:r>
      <w:r>
        <w:rPr>
          <w:rFonts w:cs="Times New Roman"/>
          <w:szCs w:val="24"/>
        </w:rPr>
        <w:lastRenderedPageBreak/>
        <w:t>urbanity) indicators in the analysis is itself a subjective approach and thence, the charac</w:t>
      </w:r>
      <w:r w:rsidR="00E511F8">
        <w:rPr>
          <w:rFonts w:cs="Times New Roman"/>
          <w:szCs w:val="24"/>
        </w:rPr>
        <w:t xml:space="preserve">terization of rural areas </w:t>
      </w:r>
      <w:r>
        <w:rPr>
          <w:rFonts w:cs="Times New Roman"/>
          <w:szCs w:val="24"/>
        </w:rPr>
        <w:t>will be pre-determined by the adopted variables (Harrington and O’Donoghue, 1998). Besides, rurality indices can characterize investigated areas from a relative sense rather than any absolute or objective sense of rurality (Waldorf, 2006; Blunden et al. 1998), although an absolute measurement of rurality is impossible without a theoretical foundation of absolute rurality. Beynon et al. (2016) has further criticized the indexing approach arguing that indexing methods cannot explain more of critical variation that exists in the data. For example, an area with significantly low population density can have higher degree of physical infrastructure, non-agricultural socio-economy. There is no statistical means proposed in rurality indexing approach for explaining such issues. Notwithstanding these limitations, the indexing approach has emerged as a reliable application for investigating rura</w:t>
      </w:r>
      <w:r w:rsidR="00BB1FA8">
        <w:rPr>
          <w:rFonts w:cs="Times New Roman"/>
          <w:szCs w:val="24"/>
        </w:rPr>
        <w:t>l areas more consistently and measuring rurlaity</w:t>
      </w:r>
      <w:r>
        <w:rPr>
          <w:rFonts w:cs="Times New Roman"/>
          <w:szCs w:val="24"/>
        </w:rPr>
        <w:t>. A large body of researchers (see for example, Beynon et al. 2016;</w:t>
      </w:r>
      <w:r w:rsidRPr="00AA416A">
        <w:rPr>
          <w:rFonts w:cs="Times New Roman"/>
          <w:bCs/>
          <w:spacing w:val="-5"/>
          <w:szCs w:val="24"/>
          <w:shd w:val="clear" w:color="auto" w:fill="FFFFFF"/>
        </w:rPr>
        <w:t xml:space="preserve"> </w:t>
      </w:r>
      <w:r w:rsidRPr="005B05CA">
        <w:rPr>
          <w:rFonts w:cs="Times New Roman"/>
          <w:bCs/>
          <w:spacing w:val="-5"/>
          <w:szCs w:val="24"/>
          <w:shd w:val="clear" w:color="auto" w:fill="FFFFFF"/>
        </w:rPr>
        <w:t>Ocaña-Riola</w:t>
      </w:r>
      <w:r w:rsidRPr="005B05CA">
        <w:rPr>
          <w:rFonts w:cs="Times New Roman"/>
          <w:szCs w:val="24"/>
        </w:rPr>
        <w:t xml:space="preserve"> and </w:t>
      </w:r>
      <w:r w:rsidRPr="005B05CA">
        <w:rPr>
          <w:rFonts w:cs="Times New Roman"/>
          <w:bCs/>
          <w:spacing w:val="-5"/>
          <w:szCs w:val="24"/>
          <w:shd w:val="clear" w:color="auto" w:fill="FFFFFF"/>
        </w:rPr>
        <w:t>Sánchez-Cantalejo</w:t>
      </w:r>
      <w:r>
        <w:rPr>
          <w:rFonts w:cs="Times New Roman"/>
          <w:bCs/>
          <w:spacing w:val="-5"/>
          <w:szCs w:val="24"/>
          <w:shd w:val="clear" w:color="auto" w:fill="FFFFFF"/>
        </w:rPr>
        <w:t xml:space="preserve">, 2005; </w:t>
      </w:r>
      <w:r>
        <w:rPr>
          <w:rFonts w:cs="Times New Roman"/>
          <w:szCs w:val="24"/>
        </w:rPr>
        <w:t>Harrington and O’Donoghue, 1998;</w:t>
      </w:r>
      <w:r w:rsidRPr="00136597">
        <w:rPr>
          <w:rFonts w:cs="Times New Roman"/>
          <w:szCs w:val="24"/>
        </w:rPr>
        <w:t xml:space="preserve"> </w:t>
      </w:r>
      <w:r>
        <w:rPr>
          <w:rFonts w:cs="Times New Roman"/>
          <w:szCs w:val="24"/>
        </w:rPr>
        <w:t>Phillips and Williams, 1984; Pacione, 1984; Gilg, 1983; Best, 1981; Hodge and Whitby, 1981; Bannister, 1980; Moseley, 1979; Shaw, 1979)</w:t>
      </w:r>
      <w:r w:rsidR="00844851">
        <w:rPr>
          <w:rFonts w:cs="Times New Roman"/>
          <w:szCs w:val="24"/>
        </w:rPr>
        <w:t xml:space="preserve"> </w:t>
      </w:r>
      <w:r>
        <w:rPr>
          <w:rFonts w:cs="Times New Roman"/>
          <w:szCs w:val="24"/>
        </w:rPr>
        <w:t xml:space="preserve">have adopted the rurality index and upgraded the methodology that has increased the applicability </w:t>
      </w:r>
      <w:r w:rsidR="00BD0535">
        <w:rPr>
          <w:rFonts w:cs="Times New Roman"/>
          <w:szCs w:val="24"/>
        </w:rPr>
        <w:t>a</w:t>
      </w:r>
      <w:r w:rsidR="00311A42">
        <w:rPr>
          <w:rFonts w:cs="Times New Roman"/>
          <w:szCs w:val="24"/>
        </w:rPr>
        <w:t>nd reliability of the approach.</w:t>
      </w:r>
    </w:p>
    <w:p w:rsidR="00FD507F" w:rsidRDefault="00FD507F" w:rsidP="00FD507F">
      <w:pPr>
        <w:pStyle w:val="Heading1"/>
        <w:numPr>
          <w:ilvl w:val="0"/>
          <w:numId w:val="8"/>
        </w:numPr>
        <w:rPr>
          <w:rFonts w:ascii="Times New Roman" w:hAnsi="Times New Roman" w:cs="Times New Roman"/>
          <w:b/>
          <w:color w:val="auto"/>
          <w:sz w:val="24"/>
          <w:szCs w:val="24"/>
        </w:rPr>
      </w:pPr>
      <w:r>
        <w:rPr>
          <w:rFonts w:ascii="Times New Roman" w:hAnsi="Times New Roman" w:cs="Times New Roman"/>
          <w:b/>
          <w:color w:val="auto"/>
          <w:sz w:val="24"/>
          <w:szCs w:val="24"/>
        </w:rPr>
        <w:t>Materials and Methods</w:t>
      </w:r>
    </w:p>
    <w:p w:rsidR="00371407" w:rsidRDefault="00371407" w:rsidP="00371407">
      <w:pPr>
        <w:pStyle w:val="Heading2"/>
        <w:numPr>
          <w:ilvl w:val="1"/>
          <w:numId w:val="8"/>
        </w:numPr>
        <w:rPr>
          <w:rFonts w:ascii="Times New Roman" w:hAnsi="Times New Roman" w:cs="Times New Roman"/>
          <w:color w:val="auto"/>
          <w:sz w:val="24"/>
          <w:szCs w:val="24"/>
        </w:rPr>
      </w:pPr>
      <w:r>
        <w:rPr>
          <w:rFonts w:ascii="Times New Roman" w:hAnsi="Times New Roman" w:cs="Times New Roman"/>
          <w:color w:val="auto"/>
          <w:sz w:val="24"/>
          <w:szCs w:val="24"/>
        </w:rPr>
        <w:t>Study Area</w:t>
      </w:r>
    </w:p>
    <w:p w:rsidR="005E5D8D" w:rsidRDefault="00371407" w:rsidP="00371407">
      <w:pPr>
        <w:rPr>
          <w:rFonts w:cs="Times New Roman"/>
          <w:szCs w:val="24"/>
        </w:rPr>
      </w:pPr>
      <w:r w:rsidRPr="00C71C47">
        <w:t>Khulna division</w:t>
      </w:r>
      <w:r w:rsidR="00F45296">
        <w:t xml:space="preserve"> </w:t>
      </w:r>
      <w:r>
        <w:t xml:space="preserve">of Bangladesh has been considered as the investigation area in this study. </w:t>
      </w:r>
      <w:r w:rsidRPr="00371407">
        <w:rPr>
          <w:rFonts w:cs="Times New Roman"/>
          <w:szCs w:val="24"/>
        </w:rPr>
        <w:t xml:space="preserve">The coastal division is located in between 21°60´ and 24°13´ north latitudes and in between 88°34´ and 89°58´ east longitudes. The Sundarbans is located in this </w:t>
      </w:r>
      <w:r w:rsidRPr="00371407">
        <w:rPr>
          <w:rFonts w:cs="Times New Roman"/>
          <w:szCs w:val="24"/>
        </w:rPr>
        <w:lastRenderedPageBreak/>
        <w:t>division covering southern parts of Satkhira, Khulna and Bagerhat districts. The division covers a total area of 21643.30 square kilometers where 11.66 million people live in rural areas and 3.04 million people live in urban areas (BBS 2011). Three districts including Khulna, Bagerhat and Satkhira have been selected as the case study areas of the study</w:t>
      </w:r>
      <w:r w:rsidR="00F45296">
        <w:rPr>
          <w:rFonts w:cs="Times New Roman"/>
          <w:szCs w:val="24"/>
        </w:rPr>
        <w:t xml:space="preserve"> (see</w:t>
      </w:r>
      <w:r w:rsidR="00F45296" w:rsidRPr="00F45296">
        <w:rPr>
          <w:rFonts w:cs="Times New Roman"/>
          <w:szCs w:val="24"/>
        </w:rPr>
        <w:t xml:space="preserve"> </w:t>
      </w:r>
      <w:hyperlink w:anchor="_Figure_1:_Map_1" w:history="1">
        <w:r w:rsidR="00F45296" w:rsidRPr="00F45296">
          <w:rPr>
            <w:rStyle w:val="Hyperlink"/>
            <w:rFonts w:cs="Times New Roman"/>
            <w:color w:val="auto"/>
            <w:szCs w:val="24"/>
            <w:u w:val="none"/>
          </w:rPr>
          <w:t>Figure 1</w:t>
        </w:r>
      </w:hyperlink>
      <w:r w:rsidR="00F45296">
        <w:rPr>
          <w:rFonts w:cs="Times New Roman"/>
          <w:szCs w:val="24"/>
        </w:rPr>
        <w:t>)</w:t>
      </w:r>
      <w:r w:rsidRPr="00371407">
        <w:rPr>
          <w:rFonts w:cs="Times New Roman"/>
          <w:szCs w:val="24"/>
        </w:rPr>
        <w:t xml:space="preserve">. Dissimilation among the districts is reflected in their comparative characteristics of socio-economy, demography and spatial distribution as compiled in the following tables in this section. One to the findings of LGED (Local Government and Engineering Department), says that the three case study areas of this research are lagging behind other districts of Bangladesh significantly regarding </w:t>
      </w:r>
      <w:r w:rsidR="004E4E3C">
        <w:rPr>
          <w:noProof/>
          <w:sz w:val="22"/>
          <w:lang w:val="en-GB" w:eastAsia="en-GB"/>
        </w:rPr>
        <mc:AlternateContent>
          <mc:Choice Requires="wps">
            <w:drawing>
              <wp:anchor distT="0" distB="0" distL="114300" distR="114300" simplePos="0" relativeHeight="251700224" behindDoc="0" locked="0" layoutInCell="1" allowOverlap="1" wp14:anchorId="22DEA4F2" wp14:editId="526A926F">
                <wp:simplePos x="0" y="0"/>
                <wp:positionH relativeFrom="column">
                  <wp:posOffset>2854696</wp:posOffset>
                </wp:positionH>
                <wp:positionV relativeFrom="page">
                  <wp:posOffset>6728460</wp:posOffset>
                </wp:positionV>
                <wp:extent cx="895350" cy="45085"/>
                <wp:effectExtent l="0" t="57150" r="19050" b="50165"/>
                <wp:wrapThrough wrapText="bothSides">
                  <wp:wrapPolygon edited="0">
                    <wp:start x="0" y="-27380"/>
                    <wp:lineTo x="17004" y="27380"/>
                    <wp:lineTo x="17464" y="36507"/>
                    <wp:lineTo x="21600" y="36507"/>
                    <wp:lineTo x="21600" y="-9127"/>
                    <wp:lineTo x="2757" y="-27380"/>
                    <wp:lineTo x="0" y="-27380"/>
                  </wp:wrapPolygon>
                </wp:wrapThrough>
                <wp:docPr id="4" name="Straight Arrow Connector 4"/>
                <wp:cNvGraphicFramePr/>
                <a:graphic xmlns:a="http://schemas.openxmlformats.org/drawingml/2006/main">
                  <a:graphicData uri="http://schemas.microsoft.com/office/word/2010/wordprocessingShape">
                    <wps:wsp>
                      <wps:cNvCnPr/>
                      <wps:spPr>
                        <a:xfrm flipH="1" flipV="1">
                          <a:off x="0" y="0"/>
                          <a:ext cx="895350" cy="45085"/>
                        </a:xfrm>
                        <a:prstGeom prst="straightConnector1">
                          <a:avLst/>
                        </a:prstGeom>
                        <a:ln>
                          <a:prstDash val="sysDot"/>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A7A728A" id="_x0000_t32" coordsize="21600,21600" o:spt="32" o:oned="t" path="m,l21600,21600e" filled="f">
                <v:path arrowok="t" fillok="f" o:connecttype="none"/>
                <o:lock v:ext="edit" shapetype="t"/>
              </v:shapetype>
              <v:shape id="Straight Arrow Connector 4" o:spid="_x0000_s1026" type="#_x0000_t32" style="position:absolute;margin-left:224.8pt;margin-top:529.8pt;width:70.5pt;height:3.55pt;flip:x y;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" strokecolor="black [3200]" strokeweight=".5pt">
                <v:stroke dashstyle="1 1" endarrow="block" joinstyle="miter"/>
                <w10:wrap type="through" anchory="page"/>
              </v:shape>
            </w:pict>
          </mc:Fallback>
        </mc:AlternateContent>
      </w:r>
      <w:r w:rsidR="005E5D8D" w:rsidRPr="005E5D8D">
        <w:rPr>
          <w:rFonts w:cs="Times New Roman"/>
          <w:noProof/>
          <w:szCs w:val="24"/>
          <w:lang w:val="en-GB" w:eastAsia="en-GB"/>
        </w:rPr>
        <mc:AlternateContent>
          <mc:Choice Requires="wps">
            <w:drawing>
              <wp:anchor distT="0" distB="0" distL="114300" distR="114300" simplePos="0" relativeHeight="251660288" behindDoc="0" locked="0" layoutInCell="1" allowOverlap="1" wp14:anchorId="41DBE8B4" wp14:editId="2C7B263F">
                <wp:simplePos x="0" y="0"/>
                <wp:positionH relativeFrom="margin">
                  <wp:align>left</wp:align>
                </wp:positionH>
                <wp:positionV relativeFrom="page">
                  <wp:posOffset>4752975</wp:posOffset>
                </wp:positionV>
                <wp:extent cx="5245100" cy="4083050"/>
                <wp:effectExtent l="0" t="0" r="12700" b="12700"/>
                <wp:wrapThrough wrapText="bothSides">
                  <wp:wrapPolygon edited="0">
                    <wp:start x="0" y="0"/>
                    <wp:lineTo x="0" y="21566"/>
                    <wp:lineTo x="21574" y="21566"/>
                    <wp:lineTo x="21574" y="0"/>
                    <wp:lineTo x="0" y="0"/>
                  </wp:wrapPolygon>
                </wp:wrapThrough>
                <wp:docPr id="2" name="Rectangle 2"/>
                <wp:cNvGraphicFramePr/>
                <a:graphic xmlns:a="http://schemas.openxmlformats.org/drawingml/2006/main">
                  <a:graphicData uri="http://schemas.microsoft.com/office/word/2010/wordprocessingShape">
                    <wps:wsp>
                      <wps:cNvSpPr/>
                      <wps:spPr>
                        <a:xfrm>
                          <a:off x="0" y="0"/>
                          <a:ext cx="5245100" cy="40830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174196" id="Rectangle 2" o:spid="_x0000_s1026" style="position:absolute;margin-left:0;margin-top:374.25pt;width:413pt;height:321.5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" filled="f" strokecolor="black [3213]" strokeweight="1pt">
                <w10:wrap type="through" anchorx="margin" anchory="page"/>
              </v:rect>
            </w:pict>
          </mc:Fallback>
        </mc:AlternateContent>
      </w:r>
      <w:r w:rsidR="005E5D8D" w:rsidRPr="005E5D8D">
        <w:rPr>
          <w:rFonts w:cs="Times New Roman"/>
          <w:noProof/>
          <w:szCs w:val="24"/>
          <w:lang w:val="en-GB" w:eastAsia="en-GB"/>
        </w:rPr>
        <w:drawing>
          <wp:anchor distT="0" distB="0" distL="114300" distR="114300" simplePos="0" relativeHeight="251659264" behindDoc="0" locked="0" layoutInCell="1" allowOverlap="1" wp14:anchorId="0B770519" wp14:editId="700B4B1F">
            <wp:simplePos x="0" y="0"/>
            <wp:positionH relativeFrom="margin">
              <wp:posOffset>58684</wp:posOffset>
            </wp:positionH>
            <wp:positionV relativeFrom="margin">
              <wp:posOffset>3598545</wp:posOffset>
            </wp:positionV>
            <wp:extent cx="5184775" cy="4006215"/>
            <wp:effectExtent l="0" t="0" r="0" b="0"/>
            <wp:wrapThrough wrapText="bothSides">
              <wp:wrapPolygon edited="0">
                <wp:start x="0" y="0"/>
                <wp:lineTo x="0" y="21466"/>
                <wp:lineTo x="21507" y="21466"/>
                <wp:lineTo x="21507"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udy_Area.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84775" cy="4006215"/>
                    </a:xfrm>
                    <a:prstGeom prst="rect">
                      <a:avLst/>
                    </a:prstGeom>
                  </pic:spPr>
                </pic:pic>
              </a:graphicData>
            </a:graphic>
          </wp:anchor>
        </w:drawing>
      </w:r>
      <w:r w:rsidR="005E5D8D">
        <w:rPr>
          <w:noProof/>
          <w:lang w:val="en-GB" w:eastAsia="en-GB"/>
        </w:rPr>
        <mc:AlternateContent>
          <mc:Choice Requires="wps">
            <w:drawing>
              <wp:anchor distT="45720" distB="45720" distL="114300" distR="114300" simplePos="0" relativeHeight="251658239" behindDoc="0" locked="0" layoutInCell="1" allowOverlap="1" wp14:anchorId="7C4DE98E" wp14:editId="5405F22F">
                <wp:simplePos x="0" y="0"/>
                <wp:positionH relativeFrom="margin">
                  <wp:align>right</wp:align>
                </wp:positionH>
                <wp:positionV relativeFrom="margin">
                  <wp:posOffset>7705090</wp:posOffset>
                </wp:positionV>
                <wp:extent cx="5175250" cy="603250"/>
                <wp:effectExtent l="0" t="0" r="0" b="6350"/>
                <wp:wrapThrough wrapText="bothSides">
                  <wp:wrapPolygon edited="0">
                    <wp:start x="239" y="0"/>
                    <wp:lineTo x="239" y="21145"/>
                    <wp:lineTo x="21308" y="21145"/>
                    <wp:lineTo x="21308" y="0"/>
                    <wp:lineTo x="239" y="0"/>
                  </wp:wrapPolygon>
                </wp:wrapThrough>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75250" cy="603250"/>
                        </a:xfrm>
                        <a:prstGeom prst="rect">
                          <a:avLst/>
                        </a:prstGeom>
                        <a:noFill/>
                        <a:ln w="9525">
                          <a:noFill/>
                          <a:miter lim="800000"/>
                          <a:headEnd/>
                          <a:tailEnd/>
                        </a:ln>
                      </wps:spPr>
                      <wps:txbx>
                        <w:txbxContent>
                          <w:p w:rsidR="00C4740B" w:rsidRPr="008D4145" w:rsidRDefault="00C4740B" w:rsidP="005E5D8D">
                            <w:pPr>
                              <w:pStyle w:val="Heading4"/>
                              <w:spacing w:line="240" w:lineRule="auto"/>
                              <w:jc w:val="center"/>
                              <w:rPr>
                                <w:rFonts w:ascii="Times New Roman" w:hAnsi="Times New Roman" w:cs="Times New Roman"/>
                                <w:i w:val="0"/>
                                <w:color w:val="auto"/>
                              </w:rPr>
                            </w:pPr>
                            <w:bookmarkStart w:id="1" w:name="_Figure_1:_Map_1"/>
                            <w:bookmarkStart w:id="2" w:name="_Figure_1:_Map"/>
                            <w:bookmarkEnd w:id="1"/>
                            <w:bookmarkEnd w:id="2"/>
                            <w:r w:rsidRPr="004B5D1D">
                              <w:rPr>
                                <w:rFonts w:ascii="Times New Roman" w:hAnsi="Times New Roman" w:cs="Times New Roman"/>
                                <w:i w:val="0"/>
                                <w:color w:val="auto"/>
                                <w:sz w:val="22"/>
                              </w:rPr>
                              <w:t>Figure 1: Map of the study area. Source: Developed by the authors utilizing spatial data derived from the GIS unit of Local Government and Engineering Department (LGED) of the government of Bangladesh (2021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4DE98E" id="_x0000_t202" coordsize="21600,21600" o:spt="202" path="m,l,21600r21600,l21600,xe">
                <v:stroke joinstyle="miter"/>
                <v:path gradientshapeok="t" o:connecttype="rect"/>
              </v:shapetype>
              <v:shape id="Text Box 2" o:spid="_x0000_s1026" type="#_x0000_t202" style="position:absolute;left:0;text-align:left;margin-left:356.3pt;margin-top:606.7pt;width:407.5pt;height:47.5pt;z-index:251658239;visibility:visible;mso-wrap-style:square;mso-width-percent:0;mso-height-percent:0;mso-wrap-distance-left:9pt;mso-wrap-distance-top:3.6pt;mso-wrap-distance-right:9pt;mso-wrap-distance-bottom:3.6pt;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" filled="f" stroked="f">
                <v:textbox>
                  <w:txbxContent>
                    <w:p w:rsidR="00C4740B" w:rsidRPr="008D4145" w:rsidRDefault="00C4740B" w:rsidP="005E5D8D">
                      <w:pPr>
                        <w:pStyle w:val="Heading4"/>
                        <w:spacing w:line="240" w:lineRule="auto"/>
                        <w:jc w:val="center"/>
                        <w:rPr>
                          <w:rFonts w:ascii="Times New Roman" w:hAnsi="Times New Roman" w:cs="Times New Roman"/>
                          <w:i w:val="0"/>
                          <w:color w:val="auto"/>
                        </w:rPr>
                      </w:pPr>
                      <w:bookmarkStart w:id="3" w:name="_Figure_1:_Map_1"/>
                      <w:bookmarkStart w:id="4" w:name="_Figure_1:_Map"/>
                      <w:bookmarkEnd w:id="3"/>
                      <w:bookmarkEnd w:id="4"/>
                      <w:r w:rsidRPr="004B5D1D">
                        <w:rPr>
                          <w:rFonts w:ascii="Times New Roman" w:hAnsi="Times New Roman" w:cs="Times New Roman"/>
                          <w:i w:val="0"/>
                          <w:color w:val="auto"/>
                          <w:sz w:val="22"/>
                        </w:rPr>
                        <w:t>Figure 1: Map of the study area. Source: Developed by the authors utilizing spatial data derived from the GIS unit of Local Government and Engineering Department (LGED) of the government of Bangladesh (2021</w:t>
                      </w:r>
                    </w:p>
                  </w:txbxContent>
                </v:textbox>
                <w10:wrap type="through" anchorx="margin" anchory="margin"/>
              </v:shape>
            </w:pict>
          </mc:Fallback>
        </mc:AlternateContent>
      </w:r>
      <w:r w:rsidRPr="00371407">
        <w:rPr>
          <w:rFonts w:cs="Times New Roman"/>
          <w:szCs w:val="24"/>
        </w:rPr>
        <w:t>development of the southern region of the nation.</w:t>
      </w:r>
      <w:r w:rsidR="004E4E3C" w:rsidRPr="004E4E3C">
        <w:rPr>
          <w:noProof/>
          <w:sz w:val="22"/>
        </w:rPr>
        <w:t xml:space="preserve"> </w:t>
      </w:r>
    </w:p>
    <w:p w:rsidR="00371407" w:rsidRDefault="00C438EC" w:rsidP="00C438EC">
      <w:pPr>
        <w:pStyle w:val="Heading4"/>
        <w:spacing w:line="240" w:lineRule="auto"/>
        <w:jc w:val="center"/>
        <w:rPr>
          <w:rFonts w:ascii="Times New Roman" w:hAnsi="Times New Roman" w:cs="Times New Roman"/>
          <w:i w:val="0"/>
          <w:color w:val="auto"/>
        </w:rPr>
      </w:pPr>
      <w:r>
        <w:rPr>
          <w:rFonts w:ascii="Times New Roman" w:hAnsi="Times New Roman" w:cs="Times New Roman"/>
          <w:i w:val="0"/>
          <w:color w:val="auto"/>
        </w:rPr>
        <w:lastRenderedPageBreak/>
        <w:t>Table 1: Location, area and population density of the investigated districts.</w:t>
      </w:r>
    </w:p>
    <w:tbl>
      <w:tblPr>
        <w:tblStyle w:val="TableGrid"/>
        <w:tblpPr w:leftFromText="180" w:rightFromText="180" w:vertAnchor="text" w:horzAnchor="margin" w:tblpY="189"/>
        <w:tblW w:w="8096" w:type="dxa"/>
        <w:tblLook w:val="04A0" w:firstRow="1" w:lastRow="0" w:firstColumn="1" w:lastColumn="0" w:noHBand="0" w:noVBand="1"/>
      </w:tblPr>
      <w:tblGrid>
        <w:gridCol w:w="1083"/>
        <w:gridCol w:w="3674"/>
        <w:gridCol w:w="1144"/>
        <w:gridCol w:w="2195"/>
      </w:tblGrid>
      <w:tr w:rsidR="00C438EC" w:rsidRPr="003270BF" w:rsidTr="00400422">
        <w:trPr>
          <w:trHeight w:val="145"/>
        </w:trPr>
        <w:tc>
          <w:tcPr>
            <w:tcW w:w="1059" w:type="dxa"/>
          </w:tcPr>
          <w:p w:rsidR="00C438EC" w:rsidRPr="00F61E75" w:rsidRDefault="00C438EC" w:rsidP="00FB14AC">
            <w:pPr>
              <w:jc w:val="center"/>
              <w:rPr>
                <w:rFonts w:ascii="Times New Roman" w:hAnsi="Times New Roman" w:cs="Times New Roman"/>
                <w:b/>
                <w:sz w:val="24"/>
                <w:szCs w:val="24"/>
              </w:rPr>
            </w:pPr>
            <w:r w:rsidRPr="00F61E75">
              <w:rPr>
                <w:rFonts w:ascii="Times New Roman" w:hAnsi="Times New Roman" w:cs="Times New Roman"/>
                <w:b/>
                <w:sz w:val="24"/>
                <w:szCs w:val="24"/>
              </w:rPr>
              <w:t>District</w:t>
            </w:r>
          </w:p>
        </w:tc>
        <w:tc>
          <w:tcPr>
            <w:tcW w:w="3691" w:type="dxa"/>
          </w:tcPr>
          <w:p w:rsidR="00C438EC" w:rsidRPr="00F61E75" w:rsidRDefault="00C438EC" w:rsidP="00FB14AC">
            <w:pPr>
              <w:jc w:val="center"/>
              <w:rPr>
                <w:rFonts w:ascii="Times New Roman" w:hAnsi="Times New Roman" w:cs="Times New Roman"/>
                <w:b/>
                <w:sz w:val="24"/>
                <w:szCs w:val="24"/>
              </w:rPr>
            </w:pPr>
            <w:r w:rsidRPr="00F61E75">
              <w:rPr>
                <w:rFonts w:ascii="Times New Roman" w:hAnsi="Times New Roman" w:cs="Times New Roman"/>
                <w:b/>
                <w:sz w:val="24"/>
                <w:szCs w:val="24"/>
              </w:rPr>
              <w:t>Location</w:t>
            </w:r>
          </w:p>
        </w:tc>
        <w:tc>
          <w:tcPr>
            <w:tcW w:w="1145" w:type="dxa"/>
          </w:tcPr>
          <w:p w:rsidR="00C438EC" w:rsidRPr="00F61E75" w:rsidRDefault="00C438EC" w:rsidP="00FB14AC">
            <w:pPr>
              <w:jc w:val="center"/>
              <w:rPr>
                <w:rFonts w:ascii="Times New Roman" w:hAnsi="Times New Roman" w:cs="Times New Roman"/>
                <w:b/>
                <w:sz w:val="24"/>
                <w:szCs w:val="24"/>
              </w:rPr>
            </w:pPr>
            <w:r>
              <w:rPr>
                <w:rFonts w:ascii="Times New Roman" w:hAnsi="Times New Roman" w:cs="Times New Roman"/>
                <w:b/>
                <w:sz w:val="24"/>
                <w:szCs w:val="24"/>
              </w:rPr>
              <w:t>Area (sq. km.)</w:t>
            </w:r>
          </w:p>
        </w:tc>
        <w:tc>
          <w:tcPr>
            <w:tcW w:w="2201" w:type="dxa"/>
          </w:tcPr>
          <w:p w:rsidR="00C438EC" w:rsidRDefault="00C438EC" w:rsidP="00FB14AC">
            <w:pPr>
              <w:jc w:val="center"/>
              <w:rPr>
                <w:rFonts w:ascii="Times New Roman" w:hAnsi="Times New Roman" w:cs="Times New Roman"/>
                <w:b/>
                <w:sz w:val="24"/>
                <w:szCs w:val="24"/>
              </w:rPr>
            </w:pPr>
            <w:r>
              <w:rPr>
                <w:rFonts w:ascii="Times New Roman" w:hAnsi="Times New Roman" w:cs="Times New Roman"/>
                <w:b/>
                <w:sz w:val="24"/>
                <w:szCs w:val="24"/>
              </w:rPr>
              <w:t>Population Density</w:t>
            </w:r>
          </w:p>
          <w:p w:rsidR="00C438EC" w:rsidRDefault="00C438EC" w:rsidP="00FB14AC">
            <w:pPr>
              <w:jc w:val="center"/>
              <w:rPr>
                <w:rFonts w:ascii="Times New Roman" w:hAnsi="Times New Roman" w:cs="Times New Roman"/>
                <w:b/>
                <w:sz w:val="24"/>
                <w:szCs w:val="24"/>
              </w:rPr>
            </w:pPr>
            <w:r>
              <w:rPr>
                <w:rFonts w:ascii="Times New Roman" w:hAnsi="Times New Roman" w:cs="Times New Roman"/>
                <w:b/>
                <w:sz w:val="24"/>
                <w:szCs w:val="24"/>
              </w:rPr>
              <w:t>(per sq. km.)</w:t>
            </w:r>
          </w:p>
        </w:tc>
      </w:tr>
      <w:tr w:rsidR="00C438EC" w:rsidRPr="003270BF" w:rsidTr="00400422">
        <w:trPr>
          <w:trHeight w:val="871"/>
        </w:trPr>
        <w:tc>
          <w:tcPr>
            <w:tcW w:w="1059" w:type="dxa"/>
          </w:tcPr>
          <w:p w:rsidR="00C438EC" w:rsidRPr="00F61E75" w:rsidRDefault="00C438EC" w:rsidP="00FB14AC">
            <w:pPr>
              <w:jc w:val="center"/>
              <w:rPr>
                <w:rFonts w:ascii="Times New Roman" w:hAnsi="Times New Roman" w:cs="Times New Roman"/>
                <w:sz w:val="24"/>
                <w:szCs w:val="24"/>
              </w:rPr>
            </w:pPr>
            <w:r w:rsidRPr="00F61E75">
              <w:rPr>
                <w:rFonts w:ascii="Times New Roman" w:hAnsi="Times New Roman" w:cs="Times New Roman"/>
                <w:sz w:val="24"/>
                <w:szCs w:val="24"/>
              </w:rPr>
              <w:t>Khulna</w:t>
            </w:r>
          </w:p>
        </w:tc>
        <w:tc>
          <w:tcPr>
            <w:tcW w:w="3691" w:type="dxa"/>
          </w:tcPr>
          <w:p w:rsidR="00C438EC" w:rsidRDefault="00C438EC" w:rsidP="00FB14AC">
            <w:pPr>
              <w:jc w:val="center"/>
              <w:rPr>
                <w:rFonts w:ascii="Times New Roman" w:hAnsi="Times New Roman" w:cs="Times New Roman"/>
                <w:sz w:val="24"/>
                <w:szCs w:val="24"/>
              </w:rPr>
            </w:pPr>
            <w:r>
              <w:rPr>
                <w:rFonts w:ascii="Times New Roman" w:hAnsi="Times New Roman" w:cs="Times New Roman"/>
                <w:sz w:val="24"/>
                <w:szCs w:val="24"/>
              </w:rPr>
              <w:t>21°41´ and 23°00´ north latitudes and</w:t>
            </w:r>
          </w:p>
          <w:p w:rsidR="00C438EC" w:rsidRPr="00F61E75" w:rsidRDefault="00C438EC" w:rsidP="00FB14AC">
            <w:pPr>
              <w:jc w:val="center"/>
              <w:rPr>
                <w:rFonts w:ascii="Times New Roman" w:hAnsi="Times New Roman" w:cs="Times New Roman"/>
                <w:sz w:val="24"/>
                <w:szCs w:val="24"/>
              </w:rPr>
            </w:pPr>
            <w:r>
              <w:rPr>
                <w:rFonts w:ascii="Times New Roman" w:hAnsi="Times New Roman" w:cs="Times New Roman"/>
                <w:sz w:val="24"/>
                <w:szCs w:val="24"/>
              </w:rPr>
              <w:t>89°14´ and 89°45´ east longitudes</w:t>
            </w:r>
          </w:p>
        </w:tc>
        <w:tc>
          <w:tcPr>
            <w:tcW w:w="1145" w:type="dxa"/>
          </w:tcPr>
          <w:p w:rsidR="00C438EC" w:rsidRDefault="00C438EC" w:rsidP="00FB14AC">
            <w:pPr>
              <w:jc w:val="center"/>
              <w:rPr>
                <w:rFonts w:ascii="Times New Roman" w:hAnsi="Times New Roman" w:cs="Times New Roman"/>
                <w:sz w:val="24"/>
                <w:szCs w:val="24"/>
              </w:rPr>
            </w:pPr>
            <w:r>
              <w:rPr>
                <w:rFonts w:ascii="Times New Roman" w:hAnsi="Times New Roman" w:cs="Times New Roman"/>
                <w:sz w:val="24"/>
                <w:szCs w:val="24"/>
              </w:rPr>
              <w:t>4395</w:t>
            </w:r>
          </w:p>
        </w:tc>
        <w:tc>
          <w:tcPr>
            <w:tcW w:w="2201" w:type="dxa"/>
          </w:tcPr>
          <w:p w:rsidR="00C438EC" w:rsidRDefault="00C438EC" w:rsidP="00FB14AC">
            <w:pPr>
              <w:jc w:val="center"/>
              <w:rPr>
                <w:rFonts w:ascii="Times New Roman" w:hAnsi="Times New Roman" w:cs="Times New Roman"/>
                <w:sz w:val="24"/>
                <w:szCs w:val="24"/>
              </w:rPr>
            </w:pPr>
            <w:r>
              <w:rPr>
                <w:rFonts w:ascii="Times New Roman" w:hAnsi="Times New Roman" w:cs="Times New Roman"/>
                <w:sz w:val="24"/>
                <w:szCs w:val="24"/>
              </w:rPr>
              <w:t>1046</w:t>
            </w:r>
          </w:p>
        </w:tc>
      </w:tr>
      <w:tr w:rsidR="00C438EC" w:rsidRPr="003270BF" w:rsidTr="00400422">
        <w:trPr>
          <w:trHeight w:val="871"/>
        </w:trPr>
        <w:tc>
          <w:tcPr>
            <w:tcW w:w="1059" w:type="dxa"/>
          </w:tcPr>
          <w:p w:rsidR="00C438EC" w:rsidRPr="00F61E75" w:rsidRDefault="00C438EC" w:rsidP="00FB14AC">
            <w:pPr>
              <w:jc w:val="center"/>
              <w:rPr>
                <w:rFonts w:ascii="Times New Roman" w:hAnsi="Times New Roman" w:cs="Times New Roman"/>
                <w:sz w:val="24"/>
                <w:szCs w:val="24"/>
              </w:rPr>
            </w:pPr>
            <w:r w:rsidRPr="00F61E75">
              <w:rPr>
                <w:rFonts w:ascii="Times New Roman" w:hAnsi="Times New Roman" w:cs="Times New Roman"/>
                <w:sz w:val="24"/>
                <w:szCs w:val="24"/>
              </w:rPr>
              <w:t>Bagerhat</w:t>
            </w:r>
          </w:p>
        </w:tc>
        <w:tc>
          <w:tcPr>
            <w:tcW w:w="3691" w:type="dxa"/>
          </w:tcPr>
          <w:p w:rsidR="00C438EC" w:rsidRDefault="00C438EC" w:rsidP="00FB14AC">
            <w:pPr>
              <w:jc w:val="center"/>
              <w:rPr>
                <w:rFonts w:ascii="Times New Roman" w:hAnsi="Times New Roman" w:cs="Times New Roman"/>
                <w:sz w:val="24"/>
                <w:szCs w:val="24"/>
              </w:rPr>
            </w:pPr>
            <w:r>
              <w:rPr>
                <w:rFonts w:ascii="Times New Roman" w:hAnsi="Times New Roman" w:cs="Times New Roman"/>
                <w:sz w:val="24"/>
                <w:szCs w:val="24"/>
              </w:rPr>
              <w:t>21°49´ and 22°59´ north latitudes and</w:t>
            </w:r>
          </w:p>
          <w:p w:rsidR="00C438EC" w:rsidRPr="00F61E75" w:rsidRDefault="00C438EC" w:rsidP="00FB14AC">
            <w:pPr>
              <w:jc w:val="center"/>
              <w:rPr>
                <w:rFonts w:ascii="Times New Roman" w:hAnsi="Times New Roman" w:cs="Times New Roman"/>
                <w:sz w:val="24"/>
                <w:szCs w:val="24"/>
              </w:rPr>
            </w:pPr>
            <w:r>
              <w:rPr>
                <w:rFonts w:ascii="Times New Roman" w:hAnsi="Times New Roman" w:cs="Times New Roman"/>
                <w:sz w:val="24"/>
                <w:szCs w:val="24"/>
              </w:rPr>
              <w:t>89°32´ and 89°98´ east longitudes</w:t>
            </w:r>
          </w:p>
        </w:tc>
        <w:tc>
          <w:tcPr>
            <w:tcW w:w="1145" w:type="dxa"/>
          </w:tcPr>
          <w:p w:rsidR="00C438EC" w:rsidRDefault="00C438EC" w:rsidP="00FB14AC">
            <w:pPr>
              <w:jc w:val="center"/>
              <w:rPr>
                <w:rFonts w:ascii="Times New Roman" w:hAnsi="Times New Roman" w:cs="Times New Roman"/>
                <w:sz w:val="24"/>
                <w:szCs w:val="24"/>
              </w:rPr>
            </w:pPr>
            <w:r>
              <w:rPr>
                <w:rFonts w:ascii="Times New Roman" w:hAnsi="Times New Roman" w:cs="Times New Roman"/>
                <w:sz w:val="24"/>
                <w:szCs w:val="24"/>
              </w:rPr>
              <w:t>3959.11</w:t>
            </w:r>
          </w:p>
        </w:tc>
        <w:tc>
          <w:tcPr>
            <w:tcW w:w="2201" w:type="dxa"/>
          </w:tcPr>
          <w:p w:rsidR="00C438EC" w:rsidRDefault="00C438EC" w:rsidP="00FB14AC">
            <w:pPr>
              <w:jc w:val="center"/>
              <w:rPr>
                <w:rFonts w:ascii="Times New Roman" w:hAnsi="Times New Roman" w:cs="Times New Roman"/>
                <w:sz w:val="24"/>
                <w:szCs w:val="24"/>
              </w:rPr>
            </w:pPr>
            <w:r>
              <w:rPr>
                <w:rFonts w:ascii="Times New Roman" w:hAnsi="Times New Roman" w:cs="Times New Roman"/>
                <w:sz w:val="24"/>
                <w:szCs w:val="24"/>
              </w:rPr>
              <w:t>1027</w:t>
            </w:r>
          </w:p>
        </w:tc>
      </w:tr>
      <w:tr w:rsidR="00C438EC" w:rsidRPr="003270BF" w:rsidTr="00400422">
        <w:trPr>
          <w:trHeight w:val="798"/>
        </w:trPr>
        <w:tc>
          <w:tcPr>
            <w:tcW w:w="1059" w:type="dxa"/>
          </w:tcPr>
          <w:p w:rsidR="00C438EC" w:rsidRPr="00F61E75" w:rsidRDefault="00C438EC" w:rsidP="00FB14AC">
            <w:pPr>
              <w:jc w:val="center"/>
              <w:rPr>
                <w:rFonts w:ascii="Times New Roman" w:hAnsi="Times New Roman" w:cs="Times New Roman"/>
                <w:sz w:val="24"/>
                <w:szCs w:val="24"/>
              </w:rPr>
            </w:pPr>
            <w:r w:rsidRPr="00F61E75">
              <w:rPr>
                <w:rFonts w:ascii="Times New Roman" w:hAnsi="Times New Roman" w:cs="Times New Roman"/>
                <w:sz w:val="24"/>
                <w:szCs w:val="24"/>
              </w:rPr>
              <w:t>Satkhira</w:t>
            </w:r>
          </w:p>
        </w:tc>
        <w:tc>
          <w:tcPr>
            <w:tcW w:w="3691" w:type="dxa"/>
          </w:tcPr>
          <w:p w:rsidR="00C438EC" w:rsidRDefault="00C438EC" w:rsidP="00FB14AC">
            <w:pPr>
              <w:jc w:val="center"/>
              <w:rPr>
                <w:rFonts w:ascii="Times New Roman" w:hAnsi="Times New Roman" w:cs="Times New Roman"/>
                <w:sz w:val="24"/>
                <w:szCs w:val="24"/>
              </w:rPr>
            </w:pPr>
            <w:r>
              <w:rPr>
                <w:rFonts w:ascii="Times New Roman" w:hAnsi="Times New Roman" w:cs="Times New Roman"/>
                <w:sz w:val="24"/>
                <w:szCs w:val="24"/>
              </w:rPr>
              <w:t>21°36´ and 22°54´ north latitudes and</w:t>
            </w:r>
          </w:p>
          <w:p w:rsidR="00C438EC" w:rsidRPr="00F61E75" w:rsidRDefault="00C438EC" w:rsidP="00FB14AC">
            <w:pPr>
              <w:jc w:val="center"/>
              <w:rPr>
                <w:rFonts w:ascii="Times New Roman" w:hAnsi="Times New Roman" w:cs="Times New Roman"/>
                <w:sz w:val="24"/>
                <w:szCs w:val="24"/>
              </w:rPr>
            </w:pPr>
            <w:r>
              <w:rPr>
                <w:rFonts w:ascii="Times New Roman" w:hAnsi="Times New Roman" w:cs="Times New Roman"/>
                <w:sz w:val="24"/>
                <w:szCs w:val="24"/>
              </w:rPr>
              <w:t>88°54´ and 89°20´ east longitudes</w:t>
            </w:r>
          </w:p>
        </w:tc>
        <w:tc>
          <w:tcPr>
            <w:tcW w:w="1145" w:type="dxa"/>
          </w:tcPr>
          <w:p w:rsidR="00C438EC" w:rsidRDefault="00C438EC" w:rsidP="00FB14AC">
            <w:pPr>
              <w:jc w:val="center"/>
              <w:rPr>
                <w:rFonts w:ascii="Times New Roman" w:hAnsi="Times New Roman" w:cs="Times New Roman"/>
                <w:sz w:val="24"/>
                <w:szCs w:val="24"/>
              </w:rPr>
            </w:pPr>
            <w:r>
              <w:rPr>
                <w:rFonts w:ascii="Times New Roman" w:hAnsi="Times New Roman" w:cs="Times New Roman"/>
                <w:sz w:val="24"/>
                <w:szCs w:val="24"/>
              </w:rPr>
              <w:t>3858.33</w:t>
            </w:r>
          </w:p>
        </w:tc>
        <w:tc>
          <w:tcPr>
            <w:tcW w:w="2201" w:type="dxa"/>
          </w:tcPr>
          <w:p w:rsidR="00C438EC" w:rsidRDefault="00C438EC" w:rsidP="00FB14AC">
            <w:pPr>
              <w:jc w:val="center"/>
              <w:rPr>
                <w:rFonts w:ascii="Times New Roman" w:hAnsi="Times New Roman" w:cs="Times New Roman"/>
                <w:sz w:val="24"/>
                <w:szCs w:val="24"/>
              </w:rPr>
            </w:pPr>
            <w:r>
              <w:rPr>
                <w:rFonts w:ascii="Times New Roman" w:hAnsi="Times New Roman" w:cs="Times New Roman"/>
                <w:sz w:val="24"/>
                <w:szCs w:val="24"/>
              </w:rPr>
              <w:t>1044</w:t>
            </w:r>
          </w:p>
        </w:tc>
      </w:tr>
    </w:tbl>
    <w:p w:rsidR="00C438EC" w:rsidRDefault="00C438EC" w:rsidP="00C438EC">
      <w:pPr>
        <w:spacing w:line="240" w:lineRule="auto"/>
        <w:jc w:val="center"/>
        <w:rPr>
          <w:rFonts w:cs="Times New Roman"/>
          <w:sz w:val="22"/>
        </w:rPr>
      </w:pPr>
      <w:r>
        <w:rPr>
          <w:rFonts w:cs="Times New Roman"/>
          <w:sz w:val="22"/>
        </w:rPr>
        <w:t>Source: Authors’ compilation from (BBS, 2011)</w:t>
      </w:r>
    </w:p>
    <w:p w:rsidR="002F66D7" w:rsidRDefault="0037027A" w:rsidP="0037027A">
      <w:pPr>
        <w:rPr>
          <w:rFonts w:cs="Times New Roman"/>
          <w:szCs w:val="24"/>
        </w:rPr>
      </w:pPr>
      <w:r>
        <w:rPr>
          <w:rFonts w:cs="Times New Roman"/>
          <w:szCs w:val="24"/>
        </w:rPr>
        <w:t>Among the three investigated districts, Satkhira has been identified to have maximum household (HH) size (average HH size is 4.21) followed by Khulna (average HH size is 4.19) and Bagerhat (average HH size is 4.13) respectively (BBS, 2011). The report shows that population of Khulna and Bagerhat districts are decreasing with declined annual growth rate of (-)0.25% and (-)0.47% respectively whereas population in Satkhira district is increasing with an annual growth rate of 0.62% (BBS, 2011).</w:t>
      </w:r>
    </w:p>
    <w:p w:rsidR="002F66D7" w:rsidRPr="00F34940" w:rsidRDefault="00127732" w:rsidP="00127732">
      <w:pPr>
        <w:pStyle w:val="Heading4"/>
        <w:spacing w:line="240" w:lineRule="auto"/>
        <w:jc w:val="center"/>
        <w:rPr>
          <w:rFonts w:ascii="Times New Roman" w:hAnsi="Times New Roman" w:cs="Times New Roman"/>
          <w:i w:val="0"/>
          <w:color w:val="auto"/>
          <w:szCs w:val="24"/>
        </w:rPr>
      </w:pPr>
      <w:r w:rsidRPr="00F34940">
        <w:rPr>
          <w:rFonts w:ascii="Times New Roman" w:hAnsi="Times New Roman" w:cs="Times New Roman"/>
          <w:i w:val="0"/>
          <w:color w:val="auto"/>
          <w:szCs w:val="24"/>
        </w:rPr>
        <w:t xml:space="preserve">Table 2: Socio-economic profile </w:t>
      </w:r>
      <w:r w:rsidR="002F66D7" w:rsidRPr="00F34940">
        <w:rPr>
          <w:rFonts w:ascii="Times New Roman" w:hAnsi="Times New Roman" w:cs="Times New Roman"/>
          <w:i w:val="0"/>
          <w:color w:val="auto"/>
          <w:szCs w:val="24"/>
        </w:rPr>
        <w:t>of the districts</w:t>
      </w:r>
    </w:p>
    <w:tbl>
      <w:tblPr>
        <w:tblStyle w:val="TableGrid"/>
        <w:tblpPr w:leftFromText="180" w:rightFromText="180" w:vertAnchor="text" w:horzAnchor="margin" w:tblpXSpec="center" w:tblpY="32"/>
        <w:tblW w:w="7838" w:type="dxa"/>
        <w:tblLook w:val="04A0" w:firstRow="1" w:lastRow="0" w:firstColumn="1" w:lastColumn="0" w:noHBand="0" w:noVBand="1"/>
      </w:tblPr>
      <w:tblGrid>
        <w:gridCol w:w="2454"/>
        <w:gridCol w:w="1088"/>
        <w:gridCol w:w="1556"/>
        <w:gridCol w:w="1383"/>
        <w:gridCol w:w="1357"/>
      </w:tblGrid>
      <w:tr w:rsidR="00F34940" w:rsidRPr="003270BF" w:rsidTr="006B0A1E">
        <w:trPr>
          <w:trHeight w:val="414"/>
        </w:trPr>
        <w:tc>
          <w:tcPr>
            <w:tcW w:w="3542" w:type="dxa"/>
            <w:gridSpan w:val="2"/>
            <w:tcBorders>
              <w:tl2br w:val="single" w:sz="4" w:space="0" w:color="auto"/>
            </w:tcBorders>
            <w:shd w:val="clear" w:color="auto" w:fill="BFBFBF" w:themeFill="background1" w:themeFillShade="BF"/>
          </w:tcPr>
          <w:p w:rsidR="00127732" w:rsidRPr="00636B7D" w:rsidRDefault="00127732" w:rsidP="00F34940">
            <w:pPr>
              <w:jc w:val="center"/>
              <w:rPr>
                <w:rFonts w:ascii="Times New Roman" w:hAnsi="Times New Roman" w:cs="Times New Roman"/>
                <w:b/>
              </w:rPr>
            </w:pPr>
          </w:p>
        </w:tc>
        <w:tc>
          <w:tcPr>
            <w:tcW w:w="1556" w:type="dxa"/>
          </w:tcPr>
          <w:p w:rsidR="00127732" w:rsidRPr="00400422" w:rsidRDefault="00E710A7" w:rsidP="00F34940">
            <w:pPr>
              <w:jc w:val="center"/>
              <w:rPr>
                <w:rFonts w:ascii="Times New Roman" w:hAnsi="Times New Roman" w:cs="Times New Roman"/>
                <w:b/>
                <w:sz w:val="24"/>
                <w:szCs w:val="24"/>
              </w:rPr>
            </w:pPr>
            <w:r w:rsidRPr="00400422">
              <w:rPr>
                <w:rFonts w:ascii="Times New Roman" w:hAnsi="Times New Roman" w:cs="Times New Roman"/>
                <w:b/>
                <w:sz w:val="24"/>
                <w:szCs w:val="24"/>
              </w:rPr>
              <w:t xml:space="preserve">Khulna </w:t>
            </w:r>
          </w:p>
        </w:tc>
        <w:tc>
          <w:tcPr>
            <w:tcW w:w="1383" w:type="dxa"/>
          </w:tcPr>
          <w:p w:rsidR="00127732" w:rsidRPr="00400422" w:rsidRDefault="00E710A7" w:rsidP="00F34940">
            <w:pPr>
              <w:jc w:val="center"/>
              <w:rPr>
                <w:rFonts w:ascii="Times New Roman" w:hAnsi="Times New Roman" w:cs="Times New Roman"/>
                <w:b/>
                <w:sz w:val="24"/>
                <w:szCs w:val="24"/>
              </w:rPr>
            </w:pPr>
            <w:r w:rsidRPr="00400422">
              <w:rPr>
                <w:rFonts w:ascii="Times New Roman" w:hAnsi="Times New Roman" w:cs="Times New Roman"/>
                <w:b/>
                <w:sz w:val="24"/>
                <w:szCs w:val="24"/>
              </w:rPr>
              <w:t>Satkhira</w:t>
            </w:r>
          </w:p>
        </w:tc>
        <w:tc>
          <w:tcPr>
            <w:tcW w:w="1357" w:type="dxa"/>
          </w:tcPr>
          <w:p w:rsidR="00127732" w:rsidRPr="00400422" w:rsidRDefault="00E710A7" w:rsidP="00F34940">
            <w:pPr>
              <w:jc w:val="center"/>
              <w:rPr>
                <w:rFonts w:ascii="Times New Roman" w:hAnsi="Times New Roman" w:cs="Times New Roman"/>
                <w:b/>
                <w:sz w:val="24"/>
                <w:szCs w:val="24"/>
              </w:rPr>
            </w:pPr>
            <w:r w:rsidRPr="00400422">
              <w:rPr>
                <w:rFonts w:ascii="Times New Roman" w:hAnsi="Times New Roman" w:cs="Times New Roman"/>
                <w:b/>
                <w:sz w:val="24"/>
                <w:szCs w:val="24"/>
              </w:rPr>
              <w:t>Bagerhat</w:t>
            </w:r>
          </w:p>
        </w:tc>
      </w:tr>
      <w:tr w:rsidR="00F34940" w:rsidRPr="003270BF" w:rsidTr="006B0A1E">
        <w:trPr>
          <w:trHeight w:val="379"/>
        </w:trPr>
        <w:tc>
          <w:tcPr>
            <w:tcW w:w="3542" w:type="dxa"/>
            <w:gridSpan w:val="2"/>
          </w:tcPr>
          <w:p w:rsidR="00127732" w:rsidRPr="00400422" w:rsidRDefault="00F34940" w:rsidP="00F34940">
            <w:pPr>
              <w:jc w:val="center"/>
              <w:rPr>
                <w:rFonts w:ascii="Times New Roman" w:hAnsi="Times New Roman" w:cs="Times New Roman"/>
                <w:sz w:val="24"/>
                <w:szCs w:val="24"/>
              </w:rPr>
            </w:pPr>
            <w:r w:rsidRPr="00400422">
              <w:rPr>
                <w:rFonts w:ascii="Times New Roman" w:hAnsi="Times New Roman" w:cs="Times New Roman"/>
                <w:sz w:val="24"/>
                <w:szCs w:val="24"/>
              </w:rPr>
              <w:t>Literacy rate (%)</w:t>
            </w:r>
          </w:p>
        </w:tc>
        <w:tc>
          <w:tcPr>
            <w:tcW w:w="1556" w:type="dxa"/>
          </w:tcPr>
          <w:p w:rsidR="00127732" w:rsidRPr="00400422" w:rsidRDefault="00F34940" w:rsidP="00F34940">
            <w:pPr>
              <w:jc w:val="center"/>
              <w:rPr>
                <w:rFonts w:ascii="Times New Roman" w:hAnsi="Times New Roman" w:cs="Times New Roman"/>
                <w:sz w:val="24"/>
                <w:szCs w:val="24"/>
              </w:rPr>
            </w:pPr>
            <w:r w:rsidRPr="00400422">
              <w:rPr>
                <w:rFonts w:ascii="Times New Roman" w:hAnsi="Times New Roman" w:cs="Times New Roman"/>
                <w:sz w:val="24"/>
                <w:szCs w:val="24"/>
              </w:rPr>
              <w:t>60.1</w:t>
            </w:r>
          </w:p>
        </w:tc>
        <w:tc>
          <w:tcPr>
            <w:tcW w:w="1383" w:type="dxa"/>
          </w:tcPr>
          <w:p w:rsidR="00127732" w:rsidRPr="00400422" w:rsidRDefault="00F34940" w:rsidP="00F34940">
            <w:pPr>
              <w:jc w:val="center"/>
              <w:rPr>
                <w:rFonts w:ascii="Times New Roman" w:hAnsi="Times New Roman" w:cs="Times New Roman"/>
                <w:sz w:val="24"/>
                <w:szCs w:val="24"/>
              </w:rPr>
            </w:pPr>
            <w:r w:rsidRPr="00400422">
              <w:rPr>
                <w:rFonts w:ascii="Times New Roman" w:hAnsi="Times New Roman" w:cs="Times New Roman"/>
                <w:sz w:val="24"/>
                <w:szCs w:val="24"/>
              </w:rPr>
              <w:t>52.1</w:t>
            </w:r>
          </w:p>
        </w:tc>
        <w:tc>
          <w:tcPr>
            <w:tcW w:w="1357" w:type="dxa"/>
          </w:tcPr>
          <w:p w:rsidR="00127732" w:rsidRPr="00400422" w:rsidRDefault="00636B7D" w:rsidP="00F34940">
            <w:pPr>
              <w:jc w:val="center"/>
              <w:rPr>
                <w:rFonts w:ascii="Times New Roman" w:hAnsi="Times New Roman" w:cs="Times New Roman"/>
                <w:sz w:val="24"/>
                <w:szCs w:val="24"/>
              </w:rPr>
            </w:pPr>
            <w:r w:rsidRPr="00400422">
              <w:rPr>
                <w:rFonts w:ascii="Times New Roman" w:hAnsi="Times New Roman" w:cs="Times New Roman"/>
                <w:sz w:val="24"/>
                <w:szCs w:val="24"/>
              </w:rPr>
              <w:t>59</w:t>
            </w:r>
          </w:p>
        </w:tc>
      </w:tr>
      <w:tr w:rsidR="00F34940" w:rsidRPr="003270BF" w:rsidTr="006B0A1E">
        <w:trPr>
          <w:trHeight w:val="343"/>
        </w:trPr>
        <w:tc>
          <w:tcPr>
            <w:tcW w:w="3542" w:type="dxa"/>
            <w:gridSpan w:val="2"/>
          </w:tcPr>
          <w:p w:rsidR="00127732" w:rsidRPr="00400422" w:rsidRDefault="00F34940" w:rsidP="00F34940">
            <w:pPr>
              <w:jc w:val="center"/>
              <w:rPr>
                <w:rFonts w:ascii="Times New Roman" w:hAnsi="Times New Roman" w:cs="Times New Roman"/>
                <w:sz w:val="24"/>
                <w:szCs w:val="24"/>
              </w:rPr>
            </w:pPr>
            <w:r w:rsidRPr="00400422">
              <w:rPr>
                <w:rFonts w:ascii="Times New Roman" w:hAnsi="Times New Roman" w:cs="Times New Roman"/>
                <w:sz w:val="24"/>
                <w:szCs w:val="24"/>
              </w:rPr>
              <w:t>Female literacy rate (%)</w:t>
            </w:r>
          </w:p>
        </w:tc>
        <w:tc>
          <w:tcPr>
            <w:tcW w:w="1556" w:type="dxa"/>
          </w:tcPr>
          <w:p w:rsidR="00127732" w:rsidRPr="00400422" w:rsidRDefault="00F34940" w:rsidP="00F34940">
            <w:pPr>
              <w:jc w:val="center"/>
              <w:rPr>
                <w:rFonts w:ascii="Times New Roman" w:hAnsi="Times New Roman" w:cs="Times New Roman"/>
                <w:sz w:val="24"/>
                <w:szCs w:val="24"/>
              </w:rPr>
            </w:pPr>
            <w:r w:rsidRPr="00400422">
              <w:rPr>
                <w:rFonts w:ascii="Times New Roman" w:hAnsi="Times New Roman" w:cs="Times New Roman"/>
                <w:sz w:val="24"/>
                <w:szCs w:val="24"/>
              </w:rPr>
              <w:t>55.9</w:t>
            </w:r>
          </w:p>
        </w:tc>
        <w:tc>
          <w:tcPr>
            <w:tcW w:w="1383" w:type="dxa"/>
          </w:tcPr>
          <w:p w:rsidR="00127732" w:rsidRPr="00400422" w:rsidRDefault="00F34940" w:rsidP="00F34940">
            <w:pPr>
              <w:jc w:val="center"/>
              <w:rPr>
                <w:rFonts w:ascii="Times New Roman" w:hAnsi="Times New Roman" w:cs="Times New Roman"/>
                <w:sz w:val="24"/>
                <w:szCs w:val="24"/>
              </w:rPr>
            </w:pPr>
            <w:r w:rsidRPr="00400422">
              <w:rPr>
                <w:rFonts w:ascii="Times New Roman" w:hAnsi="Times New Roman" w:cs="Times New Roman"/>
                <w:sz w:val="24"/>
                <w:szCs w:val="24"/>
              </w:rPr>
              <w:t>48.2</w:t>
            </w:r>
          </w:p>
        </w:tc>
        <w:tc>
          <w:tcPr>
            <w:tcW w:w="1357" w:type="dxa"/>
          </w:tcPr>
          <w:p w:rsidR="00127732" w:rsidRPr="00400422" w:rsidRDefault="00636B7D" w:rsidP="00F34940">
            <w:pPr>
              <w:jc w:val="center"/>
              <w:rPr>
                <w:rFonts w:ascii="Times New Roman" w:hAnsi="Times New Roman" w:cs="Times New Roman"/>
                <w:sz w:val="24"/>
                <w:szCs w:val="24"/>
              </w:rPr>
            </w:pPr>
            <w:r w:rsidRPr="00400422">
              <w:rPr>
                <w:rFonts w:ascii="Times New Roman" w:hAnsi="Times New Roman" w:cs="Times New Roman"/>
                <w:sz w:val="24"/>
                <w:szCs w:val="24"/>
              </w:rPr>
              <w:t>58</w:t>
            </w:r>
          </w:p>
        </w:tc>
      </w:tr>
      <w:tr w:rsidR="00F34940" w:rsidRPr="003270BF" w:rsidTr="006B0A1E">
        <w:trPr>
          <w:trHeight w:val="341"/>
        </w:trPr>
        <w:tc>
          <w:tcPr>
            <w:tcW w:w="3542" w:type="dxa"/>
            <w:gridSpan w:val="2"/>
          </w:tcPr>
          <w:p w:rsidR="00127732" w:rsidRPr="00400422" w:rsidRDefault="00F34940" w:rsidP="00F34940">
            <w:pPr>
              <w:jc w:val="center"/>
              <w:rPr>
                <w:rFonts w:ascii="Times New Roman" w:hAnsi="Times New Roman" w:cs="Times New Roman"/>
                <w:sz w:val="24"/>
                <w:szCs w:val="24"/>
              </w:rPr>
            </w:pPr>
            <w:r w:rsidRPr="00400422">
              <w:rPr>
                <w:rFonts w:ascii="Times New Roman" w:hAnsi="Times New Roman" w:cs="Times New Roman"/>
                <w:sz w:val="24"/>
                <w:szCs w:val="24"/>
              </w:rPr>
              <w:t>Male literacy rate (%)</w:t>
            </w:r>
          </w:p>
        </w:tc>
        <w:tc>
          <w:tcPr>
            <w:tcW w:w="1556" w:type="dxa"/>
          </w:tcPr>
          <w:p w:rsidR="00127732" w:rsidRPr="00400422" w:rsidRDefault="00F34940" w:rsidP="00F34940">
            <w:pPr>
              <w:jc w:val="center"/>
              <w:rPr>
                <w:rFonts w:ascii="Times New Roman" w:hAnsi="Times New Roman" w:cs="Times New Roman"/>
                <w:sz w:val="24"/>
                <w:szCs w:val="24"/>
              </w:rPr>
            </w:pPr>
            <w:r w:rsidRPr="00400422">
              <w:rPr>
                <w:rFonts w:ascii="Times New Roman" w:hAnsi="Times New Roman" w:cs="Times New Roman"/>
                <w:sz w:val="24"/>
                <w:szCs w:val="24"/>
              </w:rPr>
              <w:t>64.3</w:t>
            </w:r>
          </w:p>
        </w:tc>
        <w:tc>
          <w:tcPr>
            <w:tcW w:w="1383" w:type="dxa"/>
          </w:tcPr>
          <w:p w:rsidR="00127732" w:rsidRPr="00400422" w:rsidRDefault="00F34940" w:rsidP="00F34940">
            <w:pPr>
              <w:jc w:val="center"/>
              <w:rPr>
                <w:rFonts w:ascii="Times New Roman" w:hAnsi="Times New Roman" w:cs="Times New Roman"/>
                <w:sz w:val="24"/>
                <w:szCs w:val="24"/>
              </w:rPr>
            </w:pPr>
            <w:r w:rsidRPr="00400422">
              <w:rPr>
                <w:rFonts w:ascii="Times New Roman" w:hAnsi="Times New Roman" w:cs="Times New Roman"/>
                <w:sz w:val="24"/>
                <w:szCs w:val="24"/>
              </w:rPr>
              <w:t>56.1</w:t>
            </w:r>
          </w:p>
        </w:tc>
        <w:tc>
          <w:tcPr>
            <w:tcW w:w="1357" w:type="dxa"/>
          </w:tcPr>
          <w:p w:rsidR="00127732" w:rsidRPr="00400422" w:rsidRDefault="00636B7D" w:rsidP="00F34940">
            <w:pPr>
              <w:jc w:val="center"/>
              <w:rPr>
                <w:rFonts w:ascii="Times New Roman" w:hAnsi="Times New Roman" w:cs="Times New Roman"/>
                <w:sz w:val="24"/>
                <w:szCs w:val="24"/>
              </w:rPr>
            </w:pPr>
            <w:r w:rsidRPr="00400422">
              <w:rPr>
                <w:rFonts w:ascii="Times New Roman" w:hAnsi="Times New Roman" w:cs="Times New Roman"/>
                <w:sz w:val="24"/>
                <w:szCs w:val="24"/>
              </w:rPr>
              <w:t>60</w:t>
            </w:r>
          </w:p>
        </w:tc>
      </w:tr>
      <w:tr w:rsidR="00F34940" w:rsidRPr="003270BF" w:rsidTr="006B0A1E">
        <w:trPr>
          <w:trHeight w:val="367"/>
        </w:trPr>
        <w:tc>
          <w:tcPr>
            <w:tcW w:w="3542" w:type="dxa"/>
            <w:gridSpan w:val="2"/>
          </w:tcPr>
          <w:p w:rsidR="00F34940" w:rsidRPr="00400422" w:rsidRDefault="00122914" w:rsidP="00F34940">
            <w:pPr>
              <w:jc w:val="center"/>
              <w:rPr>
                <w:rFonts w:ascii="Times New Roman" w:hAnsi="Times New Roman" w:cs="Times New Roman"/>
                <w:sz w:val="24"/>
                <w:szCs w:val="24"/>
              </w:rPr>
            </w:pPr>
            <w:r w:rsidRPr="00400422">
              <w:rPr>
                <w:rFonts w:ascii="Times New Roman" w:hAnsi="Times New Roman" w:cs="Times New Roman"/>
                <w:sz w:val="24"/>
                <w:szCs w:val="24"/>
              </w:rPr>
              <w:t xml:space="preserve">Employment rate (%) </w:t>
            </w:r>
          </w:p>
        </w:tc>
        <w:tc>
          <w:tcPr>
            <w:tcW w:w="1556" w:type="dxa"/>
          </w:tcPr>
          <w:p w:rsidR="00F34940" w:rsidRPr="00400422" w:rsidRDefault="00122914" w:rsidP="00F34940">
            <w:pPr>
              <w:jc w:val="center"/>
              <w:rPr>
                <w:rFonts w:ascii="Times New Roman" w:hAnsi="Times New Roman" w:cs="Times New Roman"/>
                <w:sz w:val="24"/>
                <w:szCs w:val="24"/>
              </w:rPr>
            </w:pPr>
            <w:r w:rsidRPr="00400422">
              <w:rPr>
                <w:rFonts w:ascii="Times New Roman" w:hAnsi="Times New Roman" w:cs="Times New Roman"/>
                <w:sz w:val="24"/>
                <w:szCs w:val="24"/>
              </w:rPr>
              <w:t>38.22</w:t>
            </w:r>
          </w:p>
        </w:tc>
        <w:tc>
          <w:tcPr>
            <w:tcW w:w="1383" w:type="dxa"/>
          </w:tcPr>
          <w:p w:rsidR="00F34940" w:rsidRPr="00400422" w:rsidRDefault="00122914" w:rsidP="00F34940">
            <w:pPr>
              <w:jc w:val="center"/>
              <w:rPr>
                <w:rFonts w:ascii="Times New Roman" w:hAnsi="Times New Roman" w:cs="Times New Roman"/>
                <w:sz w:val="24"/>
                <w:szCs w:val="24"/>
              </w:rPr>
            </w:pPr>
            <w:r w:rsidRPr="00400422">
              <w:rPr>
                <w:rFonts w:ascii="Times New Roman" w:hAnsi="Times New Roman" w:cs="Times New Roman"/>
                <w:sz w:val="24"/>
                <w:szCs w:val="24"/>
              </w:rPr>
              <w:t>37.89</w:t>
            </w:r>
          </w:p>
        </w:tc>
        <w:tc>
          <w:tcPr>
            <w:tcW w:w="1357" w:type="dxa"/>
          </w:tcPr>
          <w:p w:rsidR="00F34940" w:rsidRPr="00400422" w:rsidRDefault="00122914" w:rsidP="00F34940">
            <w:pPr>
              <w:jc w:val="center"/>
              <w:rPr>
                <w:rFonts w:ascii="Times New Roman" w:hAnsi="Times New Roman" w:cs="Times New Roman"/>
                <w:sz w:val="24"/>
                <w:szCs w:val="24"/>
              </w:rPr>
            </w:pPr>
            <w:r w:rsidRPr="00400422">
              <w:rPr>
                <w:rFonts w:ascii="Times New Roman" w:hAnsi="Times New Roman" w:cs="Times New Roman"/>
                <w:sz w:val="24"/>
                <w:szCs w:val="24"/>
              </w:rPr>
              <w:t>40.02</w:t>
            </w:r>
          </w:p>
        </w:tc>
      </w:tr>
      <w:tr w:rsidR="00F34940" w:rsidRPr="003270BF" w:rsidTr="006B0A1E">
        <w:trPr>
          <w:trHeight w:val="367"/>
        </w:trPr>
        <w:tc>
          <w:tcPr>
            <w:tcW w:w="3542" w:type="dxa"/>
            <w:gridSpan w:val="2"/>
          </w:tcPr>
          <w:p w:rsidR="00F34940" w:rsidRPr="00400422" w:rsidRDefault="00122914" w:rsidP="00F34940">
            <w:pPr>
              <w:jc w:val="center"/>
              <w:rPr>
                <w:rFonts w:ascii="Times New Roman" w:hAnsi="Times New Roman" w:cs="Times New Roman"/>
                <w:sz w:val="24"/>
                <w:szCs w:val="24"/>
              </w:rPr>
            </w:pPr>
            <w:r w:rsidRPr="00400422">
              <w:rPr>
                <w:rFonts w:ascii="Times New Roman" w:hAnsi="Times New Roman" w:cs="Times New Roman"/>
                <w:sz w:val="24"/>
                <w:szCs w:val="24"/>
              </w:rPr>
              <w:t>Unemployment rate (%)</w:t>
            </w:r>
          </w:p>
        </w:tc>
        <w:tc>
          <w:tcPr>
            <w:tcW w:w="1556" w:type="dxa"/>
          </w:tcPr>
          <w:p w:rsidR="00F34940" w:rsidRPr="00400422" w:rsidRDefault="00122914" w:rsidP="00F34940">
            <w:pPr>
              <w:jc w:val="center"/>
              <w:rPr>
                <w:rFonts w:ascii="Times New Roman" w:hAnsi="Times New Roman" w:cs="Times New Roman"/>
                <w:sz w:val="24"/>
                <w:szCs w:val="24"/>
              </w:rPr>
            </w:pPr>
            <w:r w:rsidRPr="00400422">
              <w:rPr>
                <w:rFonts w:ascii="Times New Roman" w:hAnsi="Times New Roman" w:cs="Times New Roman"/>
                <w:sz w:val="24"/>
                <w:szCs w:val="24"/>
              </w:rPr>
              <w:t>21.79</w:t>
            </w:r>
          </w:p>
        </w:tc>
        <w:tc>
          <w:tcPr>
            <w:tcW w:w="1383" w:type="dxa"/>
          </w:tcPr>
          <w:p w:rsidR="00F34940" w:rsidRPr="00400422" w:rsidRDefault="00122914" w:rsidP="00F34940">
            <w:pPr>
              <w:jc w:val="center"/>
              <w:rPr>
                <w:rFonts w:ascii="Times New Roman" w:hAnsi="Times New Roman" w:cs="Times New Roman"/>
                <w:sz w:val="24"/>
                <w:szCs w:val="24"/>
              </w:rPr>
            </w:pPr>
            <w:r w:rsidRPr="00400422">
              <w:rPr>
                <w:rFonts w:ascii="Times New Roman" w:hAnsi="Times New Roman" w:cs="Times New Roman"/>
                <w:sz w:val="24"/>
                <w:szCs w:val="24"/>
              </w:rPr>
              <w:t>17.14</w:t>
            </w:r>
          </w:p>
        </w:tc>
        <w:tc>
          <w:tcPr>
            <w:tcW w:w="1357" w:type="dxa"/>
          </w:tcPr>
          <w:p w:rsidR="00F34940" w:rsidRPr="00400422" w:rsidRDefault="00122914" w:rsidP="00F34940">
            <w:pPr>
              <w:jc w:val="center"/>
              <w:rPr>
                <w:rFonts w:ascii="Times New Roman" w:hAnsi="Times New Roman" w:cs="Times New Roman"/>
                <w:sz w:val="24"/>
                <w:szCs w:val="24"/>
              </w:rPr>
            </w:pPr>
            <w:r w:rsidRPr="00400422">
              <w:rPr>
                <w:rFonts w:ascii="Times New Roman" w:hAnsi="Times New Roman" w:cs="Times New Roman"/>
                <w:sz w:val="24"/>
                <w:szCs w:val="24"/>
              </w:rPr>
              <w:t>21.90</w:t>
            </w:r>
          </w:p>
        </w:tc>
      </w:tr>
      <w:tr w:rsidR="00F34940" w:rsidRPr="003270BF" w:rsidTr="006B0A1E">
        <w:trPr>
          <w:trHeight w:val="380"/>
        </w:trPr>
        <w:tc>
          <w:tcPr>
            <w:tcW w:w="3542" w:type="dxa"/>
            <w:gridSpan w:val="2"/>
          </w:tcPr>
          <w:p w:rsidR="00F34940" w:rsidRPr="00400422" w:rsidRDefault="00122914" w:rsidP="00F34940">
            <w:pPr>
              <w:jc w:val="center"/>
              <w:rPr>
                <w:rFonts w:ascii="Times New Roman" w:hAnsi="Times New Roman" w:cs="Times New Roman"/>
                <w:sz w:val="24"/>
                <w:szCs w:val="24"/>
              </w:rPr>
            </w:pPr>
            <w:r w:rsidRPr="00400422">
              <w:rPr>
                <w:rFonts w:ascii="Times New Roman" w:hAnsi="Times New Roman" w:cs="Times New Roman"/>
                <w:sz w:val="24"/>
                <w:szCs w:val="24"/>
              </w:rPr>
              <w:t>Household work (%)</w:t>
            </w:r>
          </w:p>
        </w:tc>
        <w:tc>
          <w:tcPr>
            <w:tcW w:w="1556" w:type="dxa"/>
          </w:tcPr>
          <w:p w:rsidR="00F34940" w:rsidRPr="00400422" w:rsidRDefault="00122914" w:rsidP="00F34940">
            <w:pPr>
              <w:jc w:val="center"/>
              <w:rPr>
                <w:rFonts w:ascii="Times New Roman" w:hAnsi="Times New Roman" w:cs="Times New Roman"/>
                <w:sz w:val="24"/>
                <w:szCs w:val="24"/>
              </w:rPr>
            </w:pPr>
            <w:r w:rsidRPr="00400422">
              <w:rPr>
                <w:rFonts w:ascii="Times New Roman" w:hAnsi="Times New Roman" w:cs="Times New Roman"/>
                <w:sz w:val="24"/>
                <w:szCs w:val="24"/>
              </w:rPr>
              <w:t>39.99</w:t>
            </w:r>
          </w:p>
        </w:tc>
        <w:tc>
          <w:tcPr>
            <w:tcW w:w="1383" w:type="dxa"/>
          </w:tcPr>
          <w:p w:rsidR="00F34940" w:rsidRPr="00400422" w:rsidRDefault="00122914" w:rsidP="00F34940">
            <w:pPr>
              <w:jc w:val="center"/>
              <w:rPr>
                <w:rFonts w:ascii="Times New Roman" w:hAnsi="Times New Roman" w:cs="Times New Roman"/>
                <w:sz w:val="24"/>
                <w:szCs w:val="24"/>
              </w:rPr>
            </w:pPr>
            <w:r w:rsidRPr="00400422">
              <w:rPr>
                <w:rFonts w:ascii="Times New Roman" w:hAnsi="Times New Roman" w:cs="Times New Roman"/>
                <w:sz w:val="24"/>
                <w:szCs w:val="24"/>
              </w:rPr>
              <w:t>44.97</w:t>
            </w:r>
          </w:p>
        </w:tc>
        <w:tc>
          <w:tcPr>
            <w:tcW w:w="1357" w:type="dxa"/>
          </w:tcPr>
          <w:p w:rsidR="00F34940" w:rsidRPr="00400422" w:rsidRDefault="00122914" w:rsidP="00F34940">
            <w:pPr>
              <w:jc w:val="center"/>
              <w:rPr>
                <w:rFonts w:ascii="Times New Roman" w:hAnsi="Times New Roman" w:cs="Times New Roman"/>
                <w:sz w:val="24"/>
                <w:szCs w:val="24"/>
              </w:rPr>
            </w:pPr>
            <w:r w:rsidRPr="00400422">
              <w:rPr>
                <w:rFonts w:ascii="Times New Roman" w:hAnsi="Times New Roman" w:cs="Times New Roman"/>
                <w:sz w:val="24"/>
                <w:szCs w:val="24"/>
              </w:rPr>
              <w:t>38.08</w:t>
            </w:r>
          </w:p>
        </w:tc>
      </w:tr>
      <w:tr w:rsidR="00122914" w:rsidRPr="003270BF" w:rsidTr="006B0A1E">
        <w:trPr>
          <w:trHeight w:val="388"/>
        </w:trPr>
        <w:tc>
          <w:tcPr>
            <w:tcW w:w="2454" w:type="dxa"/>
            <w:vMerge w:val="restart"/>
          </w:tcPr>
          <w:p w:rsidR="00122914" w:rsidRPr="00400422" w:rsidRDefault="00A541BE" w:rsidP="00A541BE">
            <w:pPr>
              <w:jc w:val="center"/>
              <w:rPr>
                <w:rFonts w:ascii="Times New Roman" w:hAnsi="Times New Roman" w:cs="Times New Roman"/>
                <w:sz w:val="24"/>
                <w:szCs w:val="24"/>
              </w:rPr>
            </w:pPr>
            <w:r w:rsidRPr="00400422">
              <w:rPr>
                <w:rFonts w:ascii="Times New Roman" w:hAnsi="Times New Roman" w:cs="Times New Roman"/>
                <w:sz w:val="24"/>
                <w:szCs w:val="24"/>
              </w:rPr>
              <w:t>E</w:t>
            </w:r>
            <w:r w:rsidR="00122914" w:rsidRPr="00400422">
              <w:rPr>
                <w:rFonts w:ascii="Times New Roman" w:hAnsi="Times New Roman" w:cs="Times New Roman"/>
                <w:sz w:val="24"/>
                <w:szCs w:val="24"/>
              </w:rPr>
              <w:t>mployment</w:t>
            </w:r>
            <w:r w:rsidRPr="00400422">
              <w:rPr>
                <w:rFonts w:ascii="Times New Roman" w:hAnsi="Times New Roman" w:cs="Times New Roman"/>
                <w:sz w:val="24"/>
                <w:szCs w:val="24"/>
              </w:rPr>
              <w:t xml:space="preserve"> in agricultural sector</w:t>
            </w:r>
            <w:r w:rsidR="00F43AEB" w:rsidRPr="00400422">
              <w:rPr>
                <w:rFonts w:ascii="Times New Roman" w:hAnsi="Times New Roman" w:cs="Times New Roman"/>
                <w:sz w:val="24"/>
                <w:szCs w:val="24"/>
              </w:rPr>
              <w:t xml:space="preserve"> (%)</w:t>
            </w:r>
          </w:p>
        </w:tc>
        <w:tc>
          <w:tcPr>
            <w:tcW w:w="1088" w:type="dxa"/>
          </w:tcPr>
          <w:p w:rsidR="00122914" w:rsidRPr="00400422" w:rsidRDefault="00122914" w:rsidP="00F34940">
            <w:pPr>
              <w:jc w:val="center"/>
              <w:rPr>
                <w:rFonts w:ascii="Times New Roman" w:hAnsi="Times New Roman" w:cs="Times New Roman"/>
                <w:sz w:val="24"/>
                <w:szCs w:val="24"/>
              </w:rPr>
            </w:pPr>
            <w:r w:rsidRPr="00400422">
              <w:rPr>
                <w:rFonts w:ascii="Times New Roman" w:hAnsi="Times New Roman" w:cs="Times New Roman"/>
                <w:sz w:val="24"/>
                <w:szCs w:val="24"/>
              </w:rPr>
              <w:t>Male</w:t>
            </w:r>
          </w:p>
        </w:tc>
        <w:tc>
          <w:tcPr>
            <w:tcW w:w="1556" w:type="dxa"/>
          </w:tcPr>
          <w:p w:rsidR="00122914" w:rsidRPr="00400422" w:rsidRDefault="00F43AEB" w:rsidP="00F34940">
            <w:pPr>
              <w:jc w:val="center"/>
              <w:rPr>
                <w:rFonts w:ascii="Times New Roman" w:hAnsi="Times New Roman" w:cs="Times New Roman"/>
                <w:sz w:val="24"/>
                <w:szCs w:val="24"/>
              </w:rPr>
            </w:pPr>
            <w:r w:rsidRPr="00400422">
              <w:rPr>
                <w:rFonts w:ascii="Times New Roman" w:hAnsi="Times New Roman" w:cs="Times New Roman"/>
                <w:sz w:val="24"/>
                <w:szCs w:val="24"/>
              </w:rPr>
              <w:t>57.88</w:t>
            </w:r>
          </w:p>
        </w:tc>
        <w:tc>
          <w:tcPr>
            <w:tcW w:w="1383" w:type="dxa"/>
          </w:tcPr>
          <w:p w:rsidR="00122914" w:rsidRPr="00400422" w:rsidRDefault="005F57CC" w:rsidP="00F34940">
            <w:pPr>
              <w:jc w:val="center"/>
              <w:rPr>
                <w:rFonts w:ascii="Times New Roman" w:hAnsi="Times New Roman" w:cs="Times New Roman"/>
                <w:sz w:val="24"/>
                <w:szCs w:val="24"/>
              </w:rPr>
            </w:pPr>
            <w:r w:rsidRPr="00400422">
              <w:rPr>
                <w:rFonts w:ascii="Times New Roman" w:hAnsi="Times New Roman" w:cs="Times New Roman"/>
                <w:sz w:val="24"/>
                <w:szCs w:val="24"/>
              </w:rPr>
              <w:t>80.90</w:t>
            </w:r>
          </w:p>
        </w:tc>
        <w:tc>
          <w:tcPr>
            <w:tcW w:w="1357" w:type="dxa"/>
          </w:tcPr>
          <w:p w:rsidR="00122914" w:rsidRPr="00400422" w:rsidRDefault="005F4560" w:rsidP="00F34940">
            <w:pPr>
              <w:jc w:val="center"/>
              <w:rPr>
                <w:rFonts w:ascii="Times New Roman" w:hAnsi="Times New Roman" w:cs="Times New Roman"/>
                <w:sz w:val="24"/>
                <w:szCs w:val="24"/>
              </w:rPr>
            </w:pPr>
            <w:r w:rsidRPr="00400422">
              <w:rPr>
                <w:rFonts w:ascii="Times New Roman" w:hAnsi="Times New Roman" w:cs="Times New Roman"/>
                <w:sz w:val="24"/>
                <w:szCs w:val="24"/>
              </w:rPr>
              <w:t>68.43</w:t>
            </w:r>
          </w:p>
        </w:tc>
      </w:tr>
      <w:tr w:rsidR="00122914" w:rsidRPr="003270BF" w:rsidTr="006B0A1E">
        <w:trPr>
          <w:trHeight w:val="370"/>
        </w:trPr>
        <w:tc>
          <w:tcPr>
            <w:tcW w:w="2454" w:type="dxa"/>
            <w:vMerge/>
          </w:tcPr>
          <w:p w:rsidR="00122914" w:rsidRPr="00400422" w:rsidRDefault="00122914" w:rsidP="00F34940">
            <w:pPr>
              <w:jc w:val="center"/>
              <w:rPr>
                <w:rFonts w:ascii="Times New Roman" w:hAnsi="Times New Roman" w:cs="Times New Roman"/>
                <w:sz w:val="24"/>
                <w:szCs w:val="24"/>
              </w:rPr>
            </w:pPr>
          </w:p>
        </w:tc>
        <w:tc>
          <w:tcPr>
            <w:tcW w:w="1088" w:type="dxa"/>
          </w:tcPr>
          <w:p w:rsidR="00122914" w:rsidRPr="00400422" w:rsidRDefault="00122914" w:rsidP="00F34940">
            <w:pPr>
              <w:jc w:val="center"/>
              <w:rPr>
                <w:rFonts w:ascii="Times New Roman" w:hAnsi="Times New Roman" w:cs="Times New Roman"/>
                <w:sz w:val="24"/>
                <w:szCs w:val="24"/>
              </w:rPr>
            </w:pPr>
            <w:r w:rsidRPr="00400422">
              <w:rPr>
                <w:rFonts w:ascii="Times New Roman" w:hAnsi="Times New Roman" w:cs="Times New Roman"/>
                <w:sz w:val="24"/>
                <w:szCs w:val="24"/>
              </w:rPr>
              <w:t>Female</w:t>
            </w:r>
          </w:p>
        </w:tc>
        <w:tc>
          <w:tcPr>
            <w:tcW w:w="1556" w:type="dxa"/>
          </w:tcPr>
          <w:p w:rsidR="00122914" w:rsidRPr="00400422" w:rsidRDefault="00F43AEB" w:rsidP="00F34940">
            <w:pPr>
              <w:jc w:val="center"/>
              <w:rPr>
                <w:rFonts w:ascii="Times New Roman" w:hAnsi="Times New Roman" w:cs="Times New Roman"/>
                <w:sz w:val="24"/>
                <w:szCs w:val="24"/>
              </w:rPr>
            </w:pPr>
            <w:r w:rsidRPr="00400422">
              <w:rPr>
                <w:rFonts w:ascii="Times New Roman" w:hAnsi="Times New Roman" w:cs="Times New Roman"/>
                <w:sz w:val="24"/>
                <w:szCs w:val="24"/>
              </w:rPr>
              <w:t>23.88</w:t>
            </w:r>
          </w:p>
        </w:tc>
        <w:tc>
          <w:tcPr>
            <w:tcW w:w="1383" w:type="dxa"/>
          </w:tcPr>
          <w:p w:rsidR="00122914" w:rsidRPr="00400422" w:rsidRDefault="005F57CC" w:rsidP="00F34940">
            <w:pPr>
              <w:jc w:val="center"/>
              <w:rPr>
                <w:rFonts w:ascii="Times New Roman" w:hAnsi="Times New Roman" w:cs="Times New Roman"/>
                <w:sz w:val="24"/>
                <w:szCs w:val="24"/>
              </w:rPr>
            </w:pPr>
            <w:r w:rsidRPr="00400422">
              <w:rPr>
                <w:rFonts w:ascii="Times New Roman" w:hAnsi="Times New Roman" w:cs="Times New Roman"/>
                <w:sz w:val="24"/>
                <w:szCs w:val="24"/>
              </w:rPr>
              <w:t>59.33</w:t>
            </w:r>
          </w:p>
        </w:tc>
        <w:tc>
          <w:tcPr>
            <w:tcW w:w="1357" w:type="dxa"/>
          </w:tcPr>
          <w:p w:rsidR="00122914" w:rsidRPr="00400422" w:rsidRDefault="005F4560" w:rsidP="00F34940">
            <w:pPr>
              <w:jc w:val="center"/>
              <w:rPr>
                <w:rFonts w:ascii="Times New Roman" w:hAnsi="Times New Roman" w:cs="Times New Roman"/>
                <w:sz w:val="24"/>
                <w:szCs w:val="24"/>
              </w:rPr>
            </w:pPr>
            <w:r w:rsidRPr="00400422">
              <w:rPr>
                <w:rFonts w:ascii="Times New Roman" w:hAnsi="Times New Roman" w:cs="Times New Roman"/>
                <w:sz w:val="24"/>
                <w:szCs w:val="24"/>
              </w:rPr>
              <w:t>33.83</w:t>
            </w:r>
          </w:p>
        </w:tc>
      </w:tr>
      <w:tr w:rsidR="003B3584" w:rsidRPr="003270BF" w:rsidTr="006B0A1E">
        <w:trPr>
          <w:trHeight w:val="361"/>
        </w:trPr>
        <w:tc>
          <w:tcPr>
            <w:tcW w:w="2454" w:type="dxa"/>
            <w:vMerge w:val="restart"/>
          </w:tcPr>
          <w:p w:rsidR="003B3584" w:rsidRPr="00400422" w:rsidRDefault="003B3584" w:rsidP="003B3584">
            <w:pPr>
              <w:jc w:val="center"/>
              <w:rPr>
                <w:rFonts w:ascii="Times New Roman" w:hAnsi="Times New Roman" w:cs="Times New Roman"/>
                <w:sz w:val="24"/>
                <w:szCs w:val="24"/>
              </w:rPr>
            </w:pPr>
            <w:r w:rsidRPr="00400422">
              <w:rPr>
                <w:rFonts w:ascii="Times New Roman" w:hAnsi="Times New Roman" w:cs="Times New Roman"/>
                <w:sz w:val="24"/>
                <w:szCs w:val="24"/>
              </w:rPr>
              <w:t>Employment in industrial sector</w:t>
            </w:r>
            <w:r w:rsidR="00F43AEB" w:rsidRPr="00400422">
              <w:rPr>
                <w:rFonts w:ascii="Times New Roman" w:hAnsi="Times New Roman" w:cs="Times New Roman"/>
                <w:sz w:val="24"/>
                <w:szCs w:val="24"/>
              </w:rPr>
              <w:t xml:space="preserve"> (%)</w:t>
            </w:r>
          </w:p>
        </w:tc>
        <w:tc>
          <w:tcPr>
            <w:tcW w:w="1088" w:type="dxa"/>
          </w:tcPr>
          <w:p w:rsidR="003B3584" w:rsidRPr="00400422" w:rsidRDefault="003B3584" w:rsidP="003B3584">
            <w:pPr>
              <w:jc w:val="center"/>
              <w:rPr>
                <w:rFonts w:ascii="Times New Roman" w:hAnsi="Times New Roman" w:cs="Times New Roman"/>
                <w:sz w:val="24"/>
                <w:szCs w:val="24"/>
              </w:rPr>
            </w:pPr>
            <w:r w:rsidRPr="00400422">
              <w:rPr>
                <w:rFonts w:ascii="Times New Roman" w:hAnsi="Times New Roman" w:cs="Times New Roman"/>
                <w:sz w:val="24"/>
                <w:szCs w:val="24"/>
              </w:rPr>
              <w:t>Male</w:t>
            </w:r>
          </w:p>
        </w:tc>
        <w:tc>
          <w:tcPr>
            <w:tcW w:w="1556" w:type="dxa"/>
          </w:tcPr>
          <w:p w:rsidR="003B3584" w:rsidRPr="00400422" w:rsidRDefault="00F43AEB" w:rsidP="003B3584">
            <w:pPr>
              <w:jc w:val="center"/>
              <w:rPr>
                <w:rFonts w:ascii="Times New Roman" w:hAnsi="Times New Roman" w:cs="Times New Roman"/>
                <w:sz w:val="24"/>
                <w:szCs w:val="24"/>
              </w:rPr>
            </w:pPr>
            <w:r w:rsidRPr="00400422">
              <w:rPr>
                <w:rFonts w:ascii="Times New Roman" w:hAnsi="Times New Roman" w:cs="Times New Roman"/>
                <w:sz w:val="24"/>
                <w:szCs w:val="24"/>
              </w:rPr>
              <w:t>11.56</w:t>
            </w:r>
          </w:p>
        </w:tc>
        <w:tc>
          <w:tcPr>
            <w:tcW w:w="1383" w:type="dxa"/>
          </w:tcPr>
          <w:p w:rsidR="003B3584" w:rsidRPr="00400422" w:rsidRDefault="005F57CC" w:rsidP="003B3584">
            <w:pPr>
              <w:jc w:val="center"/>
              <w:rPr>
                <w:rFonts w:ascii="Times New Roman" w:hAnsi="Times New Roman" w:cs="Times New Roman"/>
                <w:sz w:val="24"/>
                <w:szCs w:val="24"/>
              </w:rPr>
            </w:pPr>
            <w:r w:rsidRPr="00400422">
              <w:rPr>
                <w:rFonts w:ascii="Times New Roman" w:hAnsi="Times New Roman" w:cs="Times New Roman"/>
                <w:sz w:val="24"/>
                <w:szCs w:val="24"/>
              </w:rPr>
              <w:t>3.60</w:t>
            </w:r>
          </w:p>
        </w:tc>
        <w:tc>
          <w:tcPr>
            <w:tcW w:w="1357" w:type="dxa"/>
          </w:tcPr>
          <w:p w:rsidR="003B3584" w:rsidRPr="00400422" w:rsidRDefault="005F4560" w:rsidP="003B3584">
            <w:pPr>
              <w:jc w:val="center"/>
              <w:rPr>
                <w:rFonts w:ascii="Times New Roman" w:hAnsi="Times New Roman" w:cs="Times New Roman"/>
                <w:sz w:val="24"/>
                <w:szCs w:val="24"/>
              </w:rPr>
            </w:pPr>
            <w:r w:rsidRPr="00400422">
              <w:rPr>
                <w:rFonts w:ascii="Times New Roman" w:hAnsi="Times New Roman" w:cs="Times New Roman"/>
                <w:sz w:val="24"/>
                <w:szCs w:val="24"/>
              </w:rPr>
              <w:t>3.57</w:t>
            </w:r>
          </w:p>
        </w:tc>
      </w:tr>
      <w:tr w:rsidR="003B3584" w:rsidRPr="003270BF" w:rsidTr="006B0A1E">
        <w:trPr>
          <w:trHeight w:val="343"/>
        </w:trPr>
        <w:tc>
          <w:tcPr>
            <w:tcW w:w="2454" w:type="dxa"/>
            <w:vMerge/>
          </w:tcPr>
          <w:p w:rsidR="003B3584" w:rsidRPr="00400422" w:rsidRDefault="003B3584" w:rsidP="003B3584">
            <w:pPr>
              <w:jc w:val="center"/>
              <w:rPr>
                <w:rFonts w:ascii="Times New Roman" w:hAnsi="Times New Roman" w:cs="Times New Roman"/>
                <w:sz w:val="24"/>
                <w:szCs w:val="24"/>
              </w:rPr>
            </w:pPr>
          </w:p>
        </w:tc>
        <w:tc>
          <w:tcPr>
            <w:tcW w:w="1088" w:type="dxa"/>
          </w:tcPr>
          <w:p w:rsidR="003B3584" w:rsidRPr="00400422" w:rsidRDefault="003B3584" w:rsidP="003B3584">
            <w:pPr>
              <w:jc w:val="center"/>
              <w:rPr>
                <w:rFonts w:ascii="Times New Roman" w:hAnsi="Times New Roman" w:cs="Times New Roman"/>
                <w:sz w:val="24"/>
                <w:szCs w:val="24"/>
              </w:rPr>
            </w:pPr>
            <w:r w:rsidRPr="00400422">
              <w:rPr>
                <w:rFonts w:ascii="Times New Roman" w:hAnsi="Times New Roman" w:cs="Times New Roman"/>
                <w:sz w:val="24"/>
                <w:szCs w:val="24"/>
              </w:rPr>
              <w:t>Female</w:t>
            </w:r>
          </w:p>
        </w:tc>
        <w:tc>
          <w:tcPr>
            <w:tcW w:w="1556" w:type="dxa"/>
          </w:tcPr>
          <w:p w:rsidR="003B3584" w:rsidRPr="00400422" w:rsidRDefault="00F43AEB" w:rsidP="003B3584">
            <w:pPr>
              <w:jc w:val="center"/>
              <w:rPr>
                <w:rFonts w:ascii="Times New Roman" w:hAnsi="Times New Roman" w:cs="Times New Roman"/>
                <w:sz w:val="24"/>
                <w:szCs w:val="24"/>
              </w:rPr>
            </w:pPr>
            <w:r w:rsidRPr="00400422">
              <w:rPr>
                <w:rFonts w:ascii="Times New Roman" w:hAnsi="Times New Roman" w:cs="Times New Roman"/>
                <w:sz w:val="24"/>
                <w:szCs w:val="24"/>
              </w:rPr>
              <w:t>19.18</w:t>
            </w:r>
          </w:p>
        </w:tc>
        <w:tc>
          <w:tcPr>
            <w:tcW w:w="1383" w:type="dxa"/>
          </w:tcPr>
          <w:p w:rsidR="003B3584" w:rsidRPr="00400422" w:rsidRDefault="005F57CC" w:rsidP="003B3584">
            <w:pPr>
              <w:jc w:val="center"/>
              <w:rPr>
                <w:rFonts w:ascii="Times New Roman" w:hAnsi="Times New Roman" w:cs="Times New Roman"/>
                <w:sz w:val="24"/>
                <w:szCs w:val="24"/>
              </w:rPr>
            </w:pPr>
            <w:r w:rsidRPr="00400422">
              <w:rPr>
                <w:rFonts w:ascii="Times New Roman" w:hAnsi="Times New Roman" w:cs="Times New Roman"/>
                <w:sz w:val="24"/>
                <w:szCs w:val="24"/>
              </w:rPr>
              <w:t>4.98</w:t>
            </w:r>
          </w:p>
        </w:tc>
        <w:tc>
          <w:tcPr>
            <w:tcW w:w="1357" w:type="dxa"/>
          </w:tcPr>
          <w:p w:rsidR="003B3584" w:rsidRPr="00400422" w:rsidRDefault="00A1332F" w:rsidP="003B3584">
            <w:pPr>
              <w:jc w:val="center"/>
              <w:rPr>
                <w:rFonts w:ascii="Times New Roman" w:hAnsi="Times New Roman" w:cs="Times New Roman"/>
                <w:sz w:val="24"/>
                <w:szCs w:val="24"/>
              </w:rPr>
            </w:pPr>
            <w:r w:rsidRPr="00400422">
              <w:rPr>
                <w:rFonts w:ascii="Times New Roman" w:hAnsi="Times New Roman" w:cs="Times New Roman"/>
                <w:sz w:val="24"/>
                <w:szCs w:val="24"/>
              </w:rPr>
              <w:t>8.43</w:t>
            </w:r>
          </w:p>
        </w:tc>
      </w:tr>
      <w:tr w:rsidR="003B3584" w:rsidRPr="003270BF" w:rsidTr="006B0A1E">
        <w:trPr>
          <w:trHeight w:val="352"/>
        </w:trPr>
        <w:tc>
          <w:tcPr>
            <w:tcW w:w="2454" w:type="dxa"/>
            <w:vMerge w:val="restart"/>
          </w:tcPr>
          <w:p w:rsidR="003B3584" w:rsidRPr="00400422" w:rsidRDefault="003B3584" w:rsidP="003B3584">
            <w:pPr>
              <w:jc w:val="center"/>
              <w:rPr>
                <w:rFonts w:ascii="Times New Roman" w:hAnsi="Times New Roman" w:cs="Times New Roman"/>
                <w:sz w:val="24"/>
                <w:szCs w:val="24"/>
              </w:rPr>
            </w:pPr>
            <w:r w:rsidRPr="00400422">
              <w:rPr>
                <w:rFonts w:ascii="Times New Roman" w:hAnsi="Times New Roman" w:cs="Times New Roman"/>
                <w:sz w:val="24"/>
                <w:szCs w:val="24"/>
              </w:rPr>
              <w:t>Employment in service sector</w:t>
            </w:r>
            <w:r w:rsidR="00F43AEB" w:rsidRPr="00400422">
              <w:rPr>
                <w:rFonts w:ascii="Times New Roman" w:hAnsi="Times New Roman" w:cs="Times New Roman"/>
                <w:sz w:val="24"/>
                <w:szCs w:val="24"/>
              </w:rPr>
              <w:t xml:space="preserve"> (%)</w:t>
            </w:r>
          </w:p>
        </w:tc>
        <w:tc>
          <w:tcPr>
            <w:tcW w:w="1088" w:type="dxa"/>
          </w:tcPr>
          <w:p w:rsidR="003B3584" w:rsidRPr="00400422" w:rsidRDefault="003B3584" w:rsidP="003B3584">
            <w:pPr>
              <w:jc w:val="center"/>
              <w:rPr>
                <w:rFonts w:ascii="Times New Roman" w:hAnsi="Times New Roman" w:cs="Times New Roman"/>
                <w:sz w:val="24"/>
                <w:szCs w:val="24"/>
              </w:rPr>
            </w:pPr>
            <w:r w:rsidRPr="00400422">
              <w:rPr>
                <w:rFonts w:ascii="Times New Roman" w:hAnsi="Times New Roman" w:cs="Times New Roman"/>
                <w:sz w:val="24"/>
                <w:szCs w:val="24"/>
              </w:rPr>
              <w:t>Male</w:t>
            </w:r>
          </w:p>
        </w:tc>
        <w:tc>
          <w:tcPr>
            <w:tcW w:w="1556" w:type="dxa"/>
          </w:tcPr>
          <w:p w:rsidR="003B3584" w:rsidRPr="00400422" w:rsidRDefault="00F43AEB" w:rsidP="003B3584">
            <w:pPr>
              <w:jc w:val="center"/>
              <w:rPr>
                <w:rFonts w:ascii="Times New Roman" w:hAnsi="Times New Roman" w:cs="Times New Roman"/>
                <w:sz w:val="24"/>
                <w:szCs w:val="24"/>
              </w:rPr>
            </w:pPr>
            <w:r w:rsidRPr="00400422">
              <w:rPr>
                <w:rFonts w:ascii="Times New Roman" w:hAnsi="Times New Roman" w:cs="Times New Roman"/>
                <w:sz w:val="24"/>
                <w:szCs w:val="24"/>
              </w:rPr>
              <w:t>30.56</w:t>
            </w:r>
          </w:p>
        </w:tc>
        <w:tc>
          <w:tcPr>
            <w:tcW w:w="1383" w:type="dxa"/>
          </w:tcPr>
          <w:p w:rsidR="003B3584" w:rsidRPr="00400422" w:rsidRDefault="005F57CC" w:rsidP="003B3584">
            <w:pPr>
              <w:jc w:val="center"/>
              <w:rPr>
                <w:rFonts w:ascii="Times New Roman" w:hAnsi="Times New Roman" w:cs="Times New Roman"/>
                <w:sz w:val="24"/>
                <w:szCs w:val="24"/>
              </w:rPr>
            </w:pPr>
            <w:r w:rsidRPr="00400422">
              <w:rPr>
                <w:rFonts w:ascii="Times New Roman" w:hAnsi="Times New Roman" w:cs="Times New Roman"/>
                <w:sz w:val="24"/>
                <w:szCs w:val="24"/>
              </w:rPr>
              <w:t>15.50</w:t>
            </w:r>
          </w:p>
        </w:tc>
        <w:tc>
          <w:tcPr>
            <w:tcW w:w="1357" w:type="dxa"/>
          </w:tcPr>
          <w:p w:rsidR="003B3584" w:rsidRPr="00400422" w:rsidRDefault="00A1332F" w:rsidP="003B3584">
            <w:pPr>
              <w:jc w:val="center"/>
              <w:rPr>
                <w:rFonts w:ascii="Times New Roman" w:hAnsi="Times New Roman" w:cs="Times New Roman"/>
                <w:sz w:val="24"/>
                <w:szCs w:val="24"/>
              </w:rPr>
            </w:pPr>
            <w:r w:rsidRPr="00400422">
              <w:rPr>
                <w:rFonts w:ascii="Times New Roman" w:hAnsi="Times New Roman" w:cs="Times New Roman"/>
                <w:sz w:val="24"/>
                <w:szCs w:val="24"/>
              </w:rPr>
              <w:t>28.00</w:t>
            </w:r>
          </w:p>
        </w:tc>
      </w:tr>
      <w:tr w:rsidR="003B3584" w:rsidRPr="003270BF" w:rsidTr="006B0A1E">
        <w:trPr>
          <w:trHeight w:val="361"/>
        </w:trPr>
        <w:tc>
          <w:tcPr>
            <w:tcW w:w="2454" w:type="dxa"/>
            <w:vMerge/>
          </w:tcPr>
          <w:p w:rsidR="003B3584" w:rsidRPr="00400422" w:rsidRDefault="003B3584" w:rsidP="003B3584">
            <w:pPr>
              <w:jc w:val="center"/>
              <w:rPr>
                <w:rFonts w:ascii="Times New Roman" w:hAnsi="Times New Roman" w:cs="Times New Roman"/>
                <w:sz w:val="24"/>
                <w:szCs w:val="24"/>
              </w:rPr>
            </w:pPr>
          </w:p>
        </w:tc>
        <w:tc>
          <w:tcPr>
            <w:tcW w:w="1088" w:type="dxa"/>
          </w:tcPr>
          <w:p w:rsidR="003B3584" w:rsidRPr="00400422" w:rsidRDefault="003B3584" w:rsidP="003B3584">
            <w:pPr>
              <w:jc w:val="center"/>
              <w:rPr>
                <w:rFonts w:ascii="Times New Roman" w:hAnsi="Times New Roman" w:cs="Times New Roman"/>
                <w:sz w:val="24"/>
                <w:szCs w:val="24"/>
              </w:rPr>
            </w:pPr>
            <w:r w:rsidRPr="00400422">
              <w:rPr>
                <w:rFonts w:ascii="Times New Roman" w:hAnsi="Times New Roman" w:cs="Times New Roman"/>
                <w:sz w:val="24"/>
                <w:szCs w:val="24"/>
              </w:rPr>
              <w:t>Female</w:t>
            </w:r>
          </w:p>
        </w:tc>
        <w:tc>
          <w:tcPr>
            <w:tcW w:w="1556" w:type="dxa"/>
          </w:tcPr>
          <w:p w:rsidR="003B3584" w:rsidRPr="00400422" w:rsidRDefault="00F43AEB" w:rsidP="003B3584">
            <w:pPr>
              <w:jc w:val="center"/>
              <w:rPr>
                <w:rFonts w:ascii="Times New Roman" w:hAnsi="Times New Roman" w:cs="Times New Roman"/>
                <w:sz w:val="24"/>
                <w:szCs w:val="24"/>
              </w:rPr>
            </w:pPr>
            <w:r w:rsidRPr="00400422">
              <w:rPr>
                <w:rFonts w:ascii="Times New Roman" w:hAnsi="Times New Roman" w:cs="Times New Roman"/>
                <w:sz w:val="24"/>
                <w:szCs w:val="24"/>
              </w:rPr>
              <w:t>56.94</w:t>
            </w:r>
          </w:p>
        </w:tc>
        <w:tc>
          <w:tcPr>
            <w:tcW w:w="1383" w:type="dxa"/>
          </w:tcPr>
          <w:p w:rsidR="003B3584" w:rsidRPr="00400422" w:rsidRDefault="005F57CC" w:rsidP="003B3584">
            <w:pPr>
              <w:jc w:val="center"/>
              <w:rPr>
                <w:rFonts w:ascii="Times New Roman" w:hAnsi="Times New Roman" w:cs="Times New Roman"/>
                <w:sz w:val="24"/>
                <w:szCs w:val="24"/>
              </w:rPr>
            </w:pPr>
            <w:r w:rsidRPr="00400422">
              <w:rPr>
                <w:rFonts w:ascii="Times New Roman" w:hAnsi="Times New Roman" w:cs="Times New Roman"/>
                <w:sz w:val="24"/>
                <w:szCs w:val="24"/>
              </w:rPr>
              <w:t>35.69</w:t>
            </w:r>
          </w:p>
        </w:tc>
        <w:tc>
          <w:tcPr>
            <w:tcW w:w="1357" w:type="dxa"/>
          </w:tcPr>
          <w:p w:rsidR="003B3584" w:rsidRPr="00400422" w:rsidRDefault="00A1332F" w:rsidP="003B3584">
            <w:pPr>
              <w:jc w:val="center"/>
              <w:rPr>
                <w:rFonts w:ascii="Times New Roman" w:hAnsi="Times New Roman" w:cs="Times New Roman"/>
                <w:sz w:val="24"/>
                <w:szCs w:val="24"/>
              </w:rPr>
            </w:pPr>
            <w:r w:rsidRPr="00400422">
              <w:rPr>
                <w:rFonts w:ascii="Times New Roman" w:hAnsi="Times New Roman" w:cs="Times New Roman"/>
                <w:sz w:val="24"/>
                <w:szCs w:val="24"/>
              </w:rPr>
              <w:t>57.93</w:t>
            </w:r>
          </w:p>
        </w:tc>
      </w:tr>
    </w:tbl>
    <w:p w:rsidR="00F34940" w:rsidRDefault="00F34940" w:rsidP="00563246">
      <w:pPr>
        <w:jc w:val="center"/>
        <w:rPr>
          <w:rFonts w:cs="Times New Roman"/>
          <w:sz w:val="22"/>
        </w:rPr>
      </w:pPr>
      <w:r>
        <w:rPr>
          <w:rFonts w:cs="Times New Roman"/>
          <w:sz w:val="22"/>
        </w:rPr>
        <w:t>Source: Authors’ compilation from (BBS, 2011)</w:t>
      </w:r>
    </w:p>
    <w:p w:rsidR="00764823" w:rsidRDefault="001D37A7" w:rsidP="006B0A1E">
      <w:pPr>
        <w:rPr>
          <w:rFonts w:cs="Times New Roman"/>
          <w:szCs w:val="24"/>
        </w:rPr>
      </w:pPr>
      <w:r w:rsidRPr="00764823">
        <w:rPr>
          <w:rFonts w:cs="Times New Roman"/>
          <w:noProof/>
          <w:szCs w:val="24"/>
          <w:lang w:val="en-GB" w:eastAsia="en-GB"/>
        </w:rPr>
        <w:lastRenderedPageBreak/>
        <mc:AlternateContent>
          <mc:Choice Requires="wps">
            <w:drawing>
              <wp:anchor distT="45720" distB="45720" distL="114300" distR="114300" simplePos="0" relativeHeight="251681792" behindDoc="0" locked="0" layoutInCell="1" allowOverlap="1" wp14:anchorId="1D347C9A" wp14:editId="019CF119">
                <wp:simplePos x="0" y="0"/>
                <wp:positionH relativeFrom="margin">
                  <wp:posOffset>1804035</wp:posOffset>
                </wp:positionH>
                <wp:positionV relativeFrom="page">
                  <wp:posOffset>6908165</wp:posOffset>
                </wp:positionV>
                <wp:extent cx="1028700" cy="405130"/>
                <wp:effectExtent l="0" t="0" r="19050" b="13970"/>
                <wp:wrapThrough wrapText="bothSides">
                  <wp:wrapPolygon edited="0">
                    <wp:start x="0" y="0"/>
                    <wp:lineTo x="0" y="21329"/>
                    <wp:lineTo x="21600" y="21329"/>
                    <wp:lineTo x="21600" y="0"/>
                    <wp:lineTo x="0" y="0"/>
                  </wp:wrapPolygon>
                </wp:wrapThrough>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405130"/>
                        </a:xfrm>
                        <a:prstGeom prst="rect">
                          <a:avLst/>
                        </a:prstGeom>
                        <a:ln>
                          <a:solidFill>
                            <a:schemeClr val="tx1"/>
                          </a:solidFill>
                          <a:headEnd/>
                          <a:tailEnd/>
                        </a:ln>
                      </wps:spPr>
                      <wps:style>
                        <a:lnRef idx="2">
                          <a:schemeClr val="dk1"/>
                        </a:lnRef>
                        <a:fillRef idx="1">
                          <a:schemeClr val="lt1"/>
                        </a:fillRef>
                        <a:effectRef idx="0">
                          <a:schemeClr val="dk1"/>
                        </a:effectRef>
                        <a:fontRef idx="minor">
                          <a:schemeClr val="dk1"/>
                        </a:fontRef>
                      </wps:style>
                      <wps:txbx>
                        <w:txbxContent>
                          <w:p w:rsidR="00C4740B" w:rsidRPr="00494556" w:rsidRDefault="00C4740B" w:rsidP="00764823">
                            <w:pPr>
                              <w:spacing w:line="240" w:lineRule="auto"/>
                              <w:jc w:val="center"/>
                              <w:rPr>
                                <w:rFonts w:cs="Times New Roman"/>
                                <w:sz w:val="20"/>
                                <w:szCs w:val="20"/>
                              </w:rPr>
                            </w:pPr>
                            <w:r>
                              <w:rPr>
                                <w:rFonts w:cs="Times New Roman"/>
                                <w:sz w:val="20"/>
                                <w:szCs w:val="20"/>
                              </w:rPr>
                              <w:t>GIS database composition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347C9A" id="_x0000_s1027" type="#_x0000_t202" style="position:absolute;left:0;text-align:left;margin-left:142.05pt;margin-top:543.95pt;width:81pt;height:31.9pt;z-index:2516817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" fillcolor="white [3201]" strokecolor="black [3213]" strokeweight="1pt">
                <v:textbox>
                  <w:txbxContent>
                    <w:p w:rsidR="00C4740B" w:rsidRPr="00494556" w:rsidRDefault="00C4740B" w:rsidP="00764823">
                      <w:pPr>
                        <w:spacing w:line="240" w:lineRule="auto"/>
                        <w:jc w:val="center"/>
                        <w:rPr>
                          <w:rFonts w:cs="Times New Roman"/>
                          <w:sz w:val="20"/>
                          <w:szCs w:val="20"/>
                        </w:rPr>
                      </w:pPr>
                      <w:r>
                        <w:rPr>
                          <w:rFonts w:cs="Times New Roman"/>
                          <w:sz w:val="20"/>
                          <w:szCs w:val="20"/>
                        </w:rPr>
                        <w:t>GIS database composition</w:t>
                      </w:r>
                    </w:p>
                  </w:txbxContent>
                </v:textbox>
                <w10:wrap type="through" anchorx="margin" anchory="page"/>
              </v:shape>
            </w:pict>
          </mc:Fallback>
        </mc:AlternateContent>
      </w:r>
      <w:r w:rsidRPr="00764823">
        <w:rPr>
          <w:rFonts w:cs="Times New Roman"/>
          <w:noProof/>
          <w:szCs w:val="24"/>
          <w:lang w:val="en-GB" w:eastAsia="en-GB"/>
        </w:rPr>
        <mc:AlternateContent>
          <mc:Choice Requires="wps">
            <w:drawing>
              <wp:anchor distT="45720" distB="45720" distL="114300" distR="114300" simplePos="0" relativeHeight="251673600" behindDoc="0" locked="0" layoutInCell="1" allowOverlap="1" wp14:anchorId="439AA9D4" wp14:editId="1F7201AF">
                <wp:simplePos x="0" y="0"/>
                <wp:positionH relativeFrom="margin">
                  <wp:posOffset>1810385</wp:posOffset>
                </wp:positionH>
                <wp:positionV relativeFrom="page">
                  <wp:posOffset>6449431</wp:posOffset>
                </wp:positionV>
                <wp:extent cx="1028700" cy="381000"/>
                <wp:effectExtent l="0" t="0" r="19050" b="19050"/>
                <wp:wrapThrough wrapText="bothSides">
                  <wp:wrapPolygon edited="0">
                    <wp:start x="0" y="0"/>
                    <wp:lineTo x="0" y="21600"/>
                    <wp:lineTo x="21600" y="21600"/>
                    <wp:lineTo x="21600" y="0"/>
                    <wp:lineTo x="0" y="0"/>
                  </wp:wrapPolygon>
                </wp:wrapThrough>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81000"/>
                        </a:xfrm>
                        <a:prstGeom prst="rect">
                          <a:avLst/>
                        </a:prstGeom>
                        <a:ln>
                          <a:solidFill>
                            <a:schemeClr val="tx1"/>
                          </a:solidFill>
                          <a:headEnd/>
                          <a:tailEnd/>
                        </a:ln>
                      </wps:spPr>
                      <wps:style>
                        <a:lnRef idx="2">
                          <a:schemeClr val="dk1"/>
                        </a:lnRef>
                        <a:fillRef idx="1">
                          <a:schemeClr val="lt1"/>
                        </a:fillRef>
                        <a:effectRef idx="0">
                          <a:schemeClr val="dk1"/>
                        </a:effectRef>
                        <a:fontRef idx="minor">
                          <a:schemeClr val="dk1"/>
                        </a:fontRef>
                      </wps:style>
                      <wps:txbx>
                        <w:txbxContent>
                          <w:p w:rsidR="00C4740B" w:rsidRPr="00494556" w:rsidRDefault="00C4740B" w:rsidP="00764823">
                            <w:pPr>
                              <w:spacing w:line="240" w:lineRule="auto"/>
                              <w:jc w:val="center"/>
                              <w:rPr>
                                <w:rFonts w:cs="Times New Roman"/>
                                <w:sz w:val="20"/>
                                <w:szCs w:val="20"/>
                              </w:rPr>
                            </w:pPr>
                            <w:r>
                              <w:rPr>
                                <w:rFonts w:cs="Times New Roman"/>
                                <w:sz w:val="20"/>
                                <w:szCs w:val="20"/>
                              </w:rPr>
                              <w:t>Research Unit Selection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9AA9D4" id="_x0000_s1028" type="#_x0000_t202" style="position:absolute;left:0;text-align:left;margin-left:142.55pt;margin-top:507.85pt;width:81pt;height:30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" fillcolor="white [3201]" strokecolor="black [3213]" strokeweight="1pt">
                <v:textbox>
                  <w:txbxContent>
                    <w:p w:rsidR="00C4740B" w:rsidRPr="00494556" w:rsidRDefault="00C4740B" w:rsidP="00764823">
                      <w:pPr>
                        <w:spacing w:line="240" w:lineRule="auto"/>
                        <w:jc w:val="center"/>
                        <w:rPr>
                          <w:rFonts w:cs="Times New Roman"/>
                          <w:sz w:val="20"/>
                          <w:szCs w:val="20"/>
                        </w:rPr>
                      </w:pPr>
                      <w:r>
                        <w:rPr>
                          <w:rFonts w:cs="Times New Roman"/>
                          <w:sz w:val="20"/>
                          <w:szCs w:val="20"/>
                        </w:rPr>
                        <w:t>Research Unit Selection</w:t>
                      </w:r>
                    </w:p>
                  </w:txbxContent>
                </v:textbox>
                <w10:wrap type="through" anchorx="margin" anchory="page"/>
              </v:shape>
            </w:pict>
          </mc:Fallback>
        </mc:AlternateContent>
      </w:r>
      <w:r w:rsidRPr="00764823">
        <w:rPr>
          <w:rFonts w:cs="Times New Roman"/>
          <w:noProof/>
          <w:szCs w:val="24"/>
          <w:lang w:val="en-GB" w:eastAsia="en-GB"/>
        </w:rPr>
        <mc:AlternateContent>
          <mc:Choice Requires="wps">
            <w:drawing>
              <wp:anchor distT="45720" distB="45720" distL="114300" distR="114300" simplePos="0" relativeHeight="251674624" behindDoc="0" locked="0" layoutInCell="1" allowOverlap="1" wp14:anchorId="4CCFD3A2" wp14:editId="5BF6DDB8">
                <wp:simplePos x="0" y="0"/>
                <wp:positionH relativeFrom="margin">
                  <wp:posOffset>1804035</wp:posOffset>
                </wp:positionH>
                <wp:positionV relativeFrom="page">
                  <wp:posOffset>7374626</wp:posOffset>
                </wp:positionV>
                <wp:extent cx="1028700" cy="802005"/>
                <wp:effectExtent l="0" t="0" r="19050" b="17145"/>
                <wp:wrapThrough wrapText="bothSides">
                  <wp:wrapPolygon edited="0">
                    <wp:start x="0" y="0"/>
                    <wp:lineTo x="0" y="21549"/>
                    <wp:lineTo x="21600" y="21549"/>
                    <wp:lineTo x="21600" y="0"/>
                    <wp:lineTo x="0" y="0"/>
                  </wp:wrapPolygon>
                </wp:wrapThrough>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802005"/>
                        </a:xfrm>
                        <a:prstGeom prst="rect">
                          <a:avLst/>
                        </a:prstGeom>
                        <a:ln>
                          <a:solidFill>
                            <a:schemeClr val="tx1"/>
                          </a:solidFill>
                          <a:headEnd/>
                          <a:tailEnd/>
                        </a:ln>
                      </wps:spPr>
                      <wps:style>
                        <a:lnRef idx="2">
                          <a:schemeClr val="dk1"/>
                        </a:lnRef>
                        <a:fillRef idx="1">
                          <a:schemeClr val="lt1"/>
                        </a:fillRef>
                        <a:effectRef idx="0">
                          <a:schemeClr val="dk1"/>
                        </a:effectRef>
                        <a:fontRef idx="minor">
                          <a:schemeClr val="dk1"/>
                        </a:fontRef>
                      </wps:style>
                      <wps:txbx>
                        <w:txbxContent>
                          <w:p w:rsidR="00C4740B" w:rsidRPr="00494556" w:rsidRDefault="00C4740B" w:rsidP="00764823">
                            <w:pPr>
                              <w:spacing w:line="240" w:lineRule="auto"/>
                              <w:jc w:val="center"/>
                              <w:rPr>
                                <w:rFonts w:cs="Times New Roman"/>
                                <w:sz w:val="20"/>
                                <w:szCs w:val="20"/>
                              </w:rPr>
                            </w:pPr>
                            <w:r>
                              <w:rPr>
                                <w:rFonts w:cs="Times New Roman"/>
                                <w:sz w:val="20"/>
                                <w:szCs w:val="20"/>
                              </w:rPr>
                              <w:t xml:space="preserve">Method for characterizing rural areas of the study area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CFD3A2" id="_x0000_s1029" type="#_x0000_t202" style="position:absolute;left:0;text-align:left;margin-left:142.05pt;margin-top:580.7pt;width:81pt;height:63.15pt;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" fillcolor="white [3201]" strokecolor="black [3213]" strokeweight="1pt">
                <v:textbox>
                  <w:txbxContent>
                    <w:p w:rsidR="00C4740B" w:rsidRPr="00494556" w:rsidRDefault="00C4740B" w:rsidP="00764823">
                      <w:pPr>
                        <w:spacing w:line="240" w:lineRule="auto"/>
                        <w:jc w:val="center"/>
                        <w:rPr>
                          <w:rFonts w:cs="Times New Roman"/>
                          <w:sz w:val="20"/>
                          <w:szCs w:val="20"/>
                        </w:rPr>
                      </w:pPr>
                      <w:r>
                        <w:rPr>
                          <w:rFonts w:cs="Times New Roman"/>
                          <w:sz w:val="20"/>
                          <w:szCs w:val="20"/>
                        </w:rPr>
                        <w:t xml:space="preserve">Method for characterizing rural areas of the study area  </w:t>
                      </w:r>
                    </w:p>
                  </w:txbxContent>
                </v:textbox>
                <w10:wrap type="through" anchorx="margin" anchory="page"/>
              </v:shape>
            </w:pict>
          </mc:Fallback>
        </mc:AlternateContent>
      </w:r>
      <w:r w:rsidRPr="00764823">
        <w:rPr>
          <w:rFonts w:cs="Times New Roman"/>
          <w:noProof/>
          <w:szCs w:val="24"/>
          <w:lang w:val="en-GB" w:eastAsia="en-GB"/>
        </w:rPr>
        <mc:AlternateContent>
          <mc:Choice Requires="wps">
            <w:drawing>
              <wp:anchor distT="45720" distB="45720" distL="114300" distR="114300" simplePos="0" relativeHeight="251672576" behindDoc="0" locked="0" layoutInCell="1" allowOverlap="1" wp14:anchorId="702B6F4F" wp14:editId="4D5A2D6C">
                <wp:simplePos x="0" y="0"/>
                <wp:positionH relativeFrom="margin">
                  <wp:posOffset>1812925</wp:posOffset>
                </wp:positionH>
                <wp:positionV relativeFrom="page">
                  <wp:posOffset>5986145</wp:posOffset>
                </wp:positionV>
                <wp:extent cx="1028700" cy="396240"/>
                <wp:effectExtent l="0" t="0" r="19050" b="22860"/>
                <wp:wrapThrough wrapText="bothSides">
                  <wp:wrapPolygon edited="0">
                    <wp:start x="0" y="0"/>
                    <wp:lineTo x="0" y="21808"/>
                    <wp:lineTo x="21600" y="21808"/>
                    <wp:lineTo x="21600" y="0"/>
                    <wp:lineTo x="0" y="0"/>
                  </wp:wrapPolygon>
                </wp:wrapThrough>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96240"/>
                        </a:xfrm>
                        <a:prstGeom prst="rect">
                          <a:avLst/>
                        </a:prstGeom>
                        <a:ln>
                          <a:solidFill>
                            <a:schemeClr val="tx1"/>
                          </a:solidFill>
                          <a:headEnd/>
                          <a:tailEnd/>
                        </a:ln>
                      </wps:spPr>
                      <wps:style>
                        <a:lnRef idx="2">
                          <a:schemeClr val="dk1"/>
                        </a:lnRef>
                        <a:fillRef idx="1">
                          <a:schemeClr val="lt1"/>
                        </a:fillRef>
                        <a:effectRef idx="0">
                          <a:schemeClr val="dk1"/>
                        </a:effectRef>
                        <a:fontRef idx="minor">
                          <a:schemeClr val="dk1"/>
                        </a:fontRef>
                      </wps:style>
                      <wps:txbx>
                        <w:txbxContent>
                          <w:p w:rsidR="00C4740B" w:rsidRPr="00494556" w:rsidRDefault="00C4740B" w:rsidP="00764823">
                            <w:pPr>
                              <w:spacing w:line="240" w:lineRule="auto"/>
                              <w:jc w:val="center"/>
                              <w:rPr>
                                <w:rFonts w:cs="Times New Roman"/>
                                <w:sz w:val="20"/>
                                <w:szCs w:val="20"/>
                              </w:rPr>
                            </w:pPr>
                            <w:r>
                              <w:rPr>
                                <w:rFonts w:cs="Times New Roman"/>
                                <w:sz w:val="20"/>
                                <w:szCs w:val="20"/>
                              </w:rPr>
                              <w:t>Study Area Selection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2B6F4F" id="_x0000_s1030" type="#_x0000_t202" style="position:absolute;left:0;text-align:left;margin-left:142.75pt;margin-top:471.35pt;width:81pt;height:31.2pt;z-index:2516725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" fillcolor="white [3201]" strokecolor="black [3213]" strokeweight="1pt">
                <v:textbox>
                  <w:txbxContent>
                    <w:p w:rsidR="00C4740B" w:rsidRPr="00494556" w:rsidRDefault="00C4740B" w:rsidP="00764823">
                      <w:pPr>
                        <w:spacing w:line="240" w:lineRule="auto"/>
                        <w:jc w:val="center"/>
                        <w:rPr>
                          <w:rFonts w:cs="Times New Roman"/>
                          <w:sz w:val="20"/>
                          <w:szCs w:val="20"/>
                        </w:rPr>
                      </w:pPr>
                      <w:r>
                        <w:rPr>
                          <w:rFonts w:cs="Times New Roman"/>
                          <w:sz w:val="20"/>
                          <w:szCs w:val="20"/>
                        </w:rPr>
                        <w:t>Study Area Selection</w:t>
                      </w:r>
                    </w:p>
                  </w:txbxContent>
                </v:textbox>
                <w10:wrap type="through" anchorx="margin" anchory="page"/>
              </v:shape>
            </w:pict>
          </mc:Fallback>
        </mc:AlternateContent>
      </w:r>
      <w:r w:rsidR="00764823" w:rsidRPr="00764823">
        <w:rPr>
          <w:rFonts w:cs="Times New Roman"/>
          <w:noProof/>
          <w:szCs w:val="24"/>
          <w:lang w:val="en-GB" w:eastAsia="en-GB"/>
        </w:rPr>
        <mc:AlternateContent>
          <mc:Choice Requires="wps">
            <w:drawing>
              <wp:anchor distT="45720" distB="45720" distL="114300" distR="114300" simplePos="0" relativeHeight="251662336" behindDoc="0" locked="0" layoutInCell="1" allowOverlap="1" wp14:anchorId="02D9CFBD" wp14:editId="79032A86">
                <wp:simplePos x="0" y="0"/>
                <wp:positionH relativeFrom="margin">
                  <wp:posOffset>3948430</wp:posOffset>
                </wp:positionH>
                <wp:positionV relativeFrom="page">
                  <wp:posOffset>6858000</wp:posOffset>
                </wp:positionV>
                <wp:extent cx="2324100" cy="422275"/>
                <wp:effectExtent l="0" t="1588" r="17463" b="17462"/>
                <wp:wrapThrough wrapText="bothSides">
                  <wp:wrapPolygon edited="0">
                    <wp:start x="21615" y="81"/>
                    <wp:lineTo x="15" y="81"/>
                    <wp:lineTo x="15" y="21519"/>
                    <wp:lineTo x="21615" y="21519"/>
                    <wp:lineTo x="21615" y="81"/>
                  </wp:wrapPolygon>
                </wp:wrapThrough>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324100" cy="422275"/>
                        </a:xfrm>
                        <a:prstGeom prst="rect">
                          <a:avLst/>
                        </a:prstGeom>
                        <a:ln>
                          <a:solidFill>
                            <a:schemeClr val="tx1"/>
                          </a:solidFill>
                          <a:headEnd/>
                          <a:tailEnd/>
                        </a:ln>
                      </wps:spPr>
                      <wps:style>
                        <a:lnRef idx="2">
                          <a:schemeClr val="dk1"/>
                        </a:lnRef>
                        <a:fillRef idx="1">
                          <a:schemeClr val="lt1"/>
                        </a:fillRef>
                        <a:effectRef idx="0">
                          <a:schemeClr val="dk1"/>
                        </a:effectRef>
                        <a:fontRef idx="minor">
                          <a:schemeClr val="dk1"/>
                        </a:fontRef>
                      </wps:style>
                      <wps:txbx>
                        <w:txbxContent>
                          <w:p w:rsidR="00C4740B" w:rsidRPr="00494556" w:rsidRDefault="00C4740B" w:rsidP="00764823">
                            <w:pPr>
                              <w:spacing w:line="240" w:lineRule="auto"/>
                              <w:jc w:val="center"/>
                              <w:rPr>
                                <w:rFonts w:cs="Times New Roman"/>
                                <w:sz w:val="20"/>
                                <w:szCs w:val="20"/>
                              </w:rPr>
                            </w:pPr>
                            <w:r>
                              <w:rPr>
                                <w:rFonts w:cs="Times New Roman"/>
                                <w:sz w:val="20"/>
                                <w:szCs w:val="20"/>
                              </w:rPr>
                              <w:t xml:space="preserve">Documentation of the outputs of the study with necessary interpretations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D9CFBD" id="_x0000_s1031" type="#_x0000_t202" style="position:absolute;left:0;text-align:left;margin-left:310.9pt;margin-top:540pt;width:183pt;height:33.25pt;rotation:-90;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" fillcolor="white [3201]" strokecolor="black [3213]" strokeweight="1pt">
                <v:textbox>
                  <w:txbxContent>
                    <w:p w:rsidR="00C4740B" w:rsidRPr="00494556" w:rsidRDefault="00C4740B" w:rsidP="00764823">
                      <w:pPr>
                        <w:spacing w:line="240" w:lineRule="auto"/>
                        <w:jc w:val="center"/>
                        <w:rPr>
                          <w:rFonts w:cs="Times New Roman"/>
                          <w:sz w:val="20"/>
                          <w:szCs w:val="20"/>
                        </w:rPr>
                      </w:pPr>
                      <w:r>
                        <w:rPr>
                          <w:rFonts w:cs="Times New Roman"/>
                          <w:sz w:val="20"/>
                          <w:szCs w:val="20"/>
                        </w:rPr>
                        <w:t xml:space="preserve">Documentation of the outputs of the study with necessary interpretations </w:t>
                      </w:r>
                    </w:p>
                  </w:txbxContent>
                </v:textbox>
                <w10:wrap type="through" anchorx="margin" anchory="page"/>
              </v:shape>
            </w:pict>
          </mc:Fallback>
        </mc:AlternateContent>
      </w:r>
      <w:r w:rsidR="00764823" w:rsidRPr="00764823">
        <w:rPr>
          <w:rFonts w:cs="Times New Roman"/>
          <w:noProof/>
          <w:szCs w:val="24"/>
          <w:lang w:val="en-GB" w:eastAsia="en-GB"/>
        </w:rPr>
        <mc:AlternateContent>
          <mc:Choice Requires="wps">
            <w:drawing>
              <wp:anchor distT="0" distB="0" distL="114300" distR="114300" simplePos="0" relativeHeight="251688960" behindDoc="0" locked="0" layoutInCell="1" allowOverlap="1" wp14:anchorId="09833E9C" wp14:editId="0B05AEAE">
                <wp:simplePos x="0" y="0"/>
                <wp:positionH relativeFrom="column">
                  <wp:posOffset>4820285</wp:posOffset>
                </wp:positionH>
                <wp:positionV relativeFrom="page">
                  <wp:posOffset>6910969</wp:posOffset>
                </wp:positionV>
                <wp:extent cx="104775" cy="57150"/>
                <wp:effectExtent l="0" t="19050" r="47625" b="38100"/>
                <wp:wrapNone/>
                <wp:docPr id="48" name="Right Arrow 48"/>
                <wp:cNvGraphicFramePr/>
                <a:graphic xmlns:a="http://schemas.openxmlformats.org/drawingml/2006/main">
                  <a:graphicData uri="http://schemas.microsoft.com/office/word/2010/wordprocessingShape">
                    <wps:wsp>
                      <wps:cNvSpPr/>
                      <wps:spPr>
                        <a:xfrm>
                          <a:off x="0" y="0"/>
                          <a:ext cx="104775" cy="57150"/>
                        </a:xfrm>
                        <a:prstGeom prst="rightArrow">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CB9140C"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48" o:spid="_x0000_s1026" type="#_x0000_t13" style="position:absolute;margin-left:379.55pt;margin-top:544.15pt;width:8.25pt;height:4.5pt;z-index:251688960;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" adj="15709" fillcolor="white [3201]" strokecolor="black [3213]" strokeweight="1pt">
                <w10:wrap anchory="page"/>
              </v:shape>
            </w:pict>
          </mc:Fallback>
        </mc:AlternateContent>
      </w:r>
      <w:r w:rsidR="00764823" w:rsidRPr="00764823">
        <w:rPr>
          <w:rFonts w:cs="Times New Roman"/>
          <w:noProof/>
          <w:szCs w:val="24"/>
          <w:lang w:val="en-GB" w:eastAsia="en-GB"/>
        </w:rPr>
        <mc:AlternateContent>
          <mc:Choice Requires="wps">
            <w:drawing>
              <wp:anchor distT="0" distB="0" distL="114300" distR="114300" simplePos="0" relativeHeight="251687936" behindDoc="0" locked="0" layoutInCell="1" allowOverlap="1" wp14:anchorId="740B120A" wp14:editId="67BFF8C0">
                <wp:simplePos x="0" y="0"/>
                <wp:positionH relativeFrom="column">
                  <wp:posOffset>3505835</wp:posOffset>
                </wp:positionH>
                <wp:positionV relativeFrom="page">
                  <wp:posOffset>6915521</wp:posOffset>
                </wp:positionV>
                <wp:extent cx="104775" cy="57150"/>
                <wp:effectExtent l="0" t="19050" r="47625" b="38100"/>
                <wp:wrapThrough wrapText="bothSides">
                  <wp:wrapPolygon edited="0">
                    <wp:start x="0" y="-7200"/>
                    <wp:lineTo x="0" y="28800"/>
                    <wp:lineTo x="27491" y="28800"/>
                    <wp:lineTo x="27491" y="-7200"/>
                    <wp:lineTo x="0" y="-7200"/>
                  </wp:wrapPolygon>
                </wp:wrapThrough>
                <wp:docPr id="46" name="Right Arrow 46"/>
                <wp:cNvGraphicFramePr/>
                <a:graphic xmlns:a="http://schemas.openxmlformats.org/drawingml/2006/main">
                  <a:graphicData uri="http://schemas.microsoft.com/office/word/2010/wordprocessingShape">
                    <wps:wsp>
                      <wps:cNvSpPr/>
                      <wps:spPr>
                        <a:xfrm>
                          <a:off x="0" y="0"/>
                          <a:ext cx="104775" cy="57150"/>
                        </a:xfrm>
                        <a:prstGeom prst="rightArrow">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0C5782F" id="Right Arrow 46" o:spid="_x0000_s1026" type="#_x0000_t13" style="position:absolute;margin-left:276.05pt;margin-top:544.55pt;width:8.25pt;height:4.5pt;z-index:251687936;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" adj="15709" fillcolor="white [3201]" strokecolor="black [3213]" strokeweight="1pt">
                <w10:wrap type="through" anchory="page"/>
              </v:shape>
            </w:pict>
          </mc:Fallback>
        </mc:AlternateContent>
      </w:r>
      <w:r w:rsidR="00764823" w:rsidRPr="00764823">
        <w:rPr>
          <w:rFonts w:cs="Times New Roman"/>
          <w:noProof/>
          <w:szCs w:val="24"/>
          <w:lang w:val="en-GB" w:eastAsia="en-GB"/>
        </w:rPr>
        <mc:AlternateContent>
          <mc:Choice Requires="wps">
            <w:drawing>
              <wp:anchor distT="0" distB="0" distL="114300" distR="114300" simplePos="0" relativeHeight="251686912" behindDoc="0" locked="0" layoutInCell="1" allowOverlap="1" wp14:anchorId="4AB6C5FA" wp14:editId="60D5D4B2">
                <wp:simplePos x="0" y="0"/>
                <wp:positionH relativeFrom="column">
                  <wp:posOffset>3191510</wp:posOffset>
                </wp:positionH>
                <wp:positionV relativeFrom="page">
                  <wp:posOffset>6911604</wp:posOffset>
                </wp:positionV>
                <wp:extent cx="104775" cy="57150"/>
                <wp:effectExtent l="0" t="19050" r="47625" b="38100"/>
                <wp:wrapNone/>
                <wp:docPr id="45" name="Right Arrow 45"/>
                <wp:cNvGraphicFramePr/>
                <a:graphic xmlns:a="http://schemas.openxmlformats.org/drawingml/2006/main">
                  <a:graphicData uri="http://schemas.microsoft.com/office/word/2010/wordprocessingShape">
                    <wps:wsp>
                      <wps:cNvSpPr/>
                      <wps:spPr>
                        <a:xfrm>
                          <a:off x="0" y="0"/>
                          <a:ext cx="104775" cy="57150"/>
                        </a:xfrm>
                        <a:prstGeom prst="rightArrow">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B7FF13E" id="Right Arrow 45" o:spid="_x0000_s1026" type="#_x0000_t13" style="position:absolute;margin-left:251.3pt;margin-top:544.2pt;width:8.25pt;height:4.5pt;z-index:251686912;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" adj="15709" fillcolor="white [3201]" strokecolor="black [3213]" strokeweight="1pt">
                <w10:wrap anchory="page"/>
              </v:shape>
            </w:pict>
          </mc:Fallback>
        </mc:AlternateContent>
      </w:r>
      <w:r w:rsidR="00764823" w:rsidRPr="00764823">
        <w:rPr>
          <w:rFonts w:cs="Times New Roman"/>
          <w:noProof/>
          <w:szCs w:val="24"/>
          <w:lang w:val="en-GB" w:eastAsia="en-GB"/>
        </w:rPr>
        <mc:AlternateContent>
          <mc:Choice Requires="wps">
            <w:drawing>
              <wp:anchor distT="0" distB="0" distL="114300" distR="114300" simplePos="0" relativeHeight="251689984" behindDoc="0" locked="0" layoutInCell="1" allowOverlap="1" wp14:anchorId="064D9872" wp14:editId="69DDF07A">
                <wp:simplePos x="0" y="0"/>
                <wp:positionH relativeFrom="column">
                  <wp:posOffset>2858135</wp:posOffset>
                </wp:positionH>
                <wp:positionV relativeFrom="page">
                  <wp:posOffset>6902714</wp:posOffset>
                </wp:positionV>
                <wp:extent cx="104775" cy="57150"/>
                <wp:effectExtent l="0" t="19050" r="47625" b="38100"/>
                <wp:wrapNone/>
                <wp:docPr id="32" name="Right Arrow 32"/>
                <wp:cNvGraphicFramePr/>
                <a:graphic xmlns:a="http://schemas.openxmlformats.org/drawingml/2006/main">
                  <a:graphicData uri="http://schemas.microsoft.com/office/word/2010/wordprocessingShape">
                    <wps:wsp>
                      <wps:cNvSpPr/>
                      <wps:spPr>
                        <a:xfrm>
                          <a:off x="0" y="0"/>
                          <a:ext cx="104775" cy="57150"/>
                        </a:xfrm>
                        <a:prstGeom prst="rightArrow">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69FE5AC" id="Right Arrow 32" o:spid="_x0000_s1026" type="#_x0000_t13" style="position:absolute;margin-left:225.05pt;margin-top:543.5pt;width:8.25pt;height:4.5pt;z-index:251689984;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" adj="15709" fillcolor="white [3201]" strokecolor="black [3213]" strokeweight="1pt">
                <w10:wrap anchory="page"/>
              </v:shape>
            </w:pict>
          </mc:Fallback>
        </mc:AlternateContent>
      </w:r>
      <w:r w:rsidR="00764823" w:rsidRPr="00764823">
        <w:rPr>
          <w:rFonts w:cs="Times New Roman"/>
          <w:noProof/>
          <w:szCs w:val="24"/>
          <w:lang w:val="en-GB" w:eastAsia="en-GB"/>
        </w:rPr>
        <mc:AlternateContent>
          <mc:Choice Requires="wps">
            <w:drawing>
              <wp:anchor distT="45720" distB="45720" distL="114300" distR="114300" simplePos="0" relativeHeight="251666432" behindDoc="0" locked="0" layoutInCell="1" allowOverlap="1" wp14:anchorId="025F78D4" wp14:editId="23AAFDD6">
                <wp:simplePos x="0" y="0"/>
                <wp:positionH relativeFrom="margin">
                  <wp:posOffset>3562985</wp:posOffset>
                </wp:positionH>
                <wp:positionV relativeFrom="page">
                  <wp:posOffset>5905129</wp:posOffset>
                </wp:positionV>
                <wp:extent cx="1276350" cy="2343150"/>
                <wp:effectExtent l="0" t="0" r="19050" b="19050"/>
                <wp:wrapThrough wrapText="bothSides">
                  <wp:wrapPolygon edited="0">
                    <wp:start x="0" y="0"/>
                    <wp:lineTo x="0" y="21600"/>
                    <wp:lineTo x="21600" y="21600"/>
                    <wp:lineTo x="21600" y="0"/>
                    <wp:lineTo x="0" y="0"/>
                  </wp:wrapPolygon>
                </wp:wrapThrough>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2343150"/>
                        </a:xfrm>
                        <a:prstGeom prst="rect">
                          <a:avLst/>
                        </a:prstGeom>
                        <a:ln>
                          <a:solidFill>
                            <a:schemeClr val="tx1"/>
                          </a:solidFill>
                          <a:prstDash val="dashDot"/>
                          <a:headEnd/>
                          <a:tailEnd/>
                        </a:ln>
                      </wps:spPr>
                      <wps:style>
                        <a:lnRef idx="2">
                          <a:schemeClr val="dk1"/>
                        </a:lnRef>
                        <a:fillRef idx="1">
                          <a:schemeClr val="lt1"/>
                        </a:fillRef>
                        <a:effectRef idx="0">
                          <a:schemeClr val="dk1"/>
                        </a:effectRef>
                        <a:fontRef idx="minor">
                          <a:schemeClr val="dk1"/>
                        </a:fontRef>
                      </wps:style>
                      <wps:txbx>
                        <w:txbxContent>
                          <w:p w:rsidR="00C4740B" w:rsidRPr="00FE4944" w:rsidRDefault="00C4740B" w:rsidP="00764823">
                            <w:pPr>
                              <w:jc w:val="center"/>
                              <w:rPr>
                                <w:rFonts w:cs="Times New Roman"/>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5F78D4" id="_x0000_s1032" type="#_x0000_t202" style="position:absolute;left:0;text-align:left;margin-left:280.55pt;margin-top:464.95pt;width:100.5pt;height:184.5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" fillcolor="white [3201]" strokecolor="black [3213]" strokeweight="1pt">
                <v:stroke dashstyle="dashDot"/>
                <v:textbox>
                  <w:txbxContent>
                    <w:p w:rsidR="00C4740B" w:rsidRPr="00FE4944" w:rsidRDefault="00C4740B" w:rsidP="00764823">
                      <w:pPr>
                        <w:jc w:val="center"/>
                        <w:rPr>
                          <w:rFonts w:cs="Times New Roman"/>
                          <w:sz w:val="20"/>
                          <w:szCs w:val="20"/>
                        </w:rPr>
                      </w:pPr>
                    </w:p>
                  </w:txbxContent>
                </v:textbox>
                <w10:wrap type="through" anchorx="margin" anchory="page"/>
              </v:shape>
            </w:pict>
          </mc:Fallback>
        </mc:AlternateContent>
      </w:r>
      <w:r w:rsidR="00764823" w:rsidRPr="00764823">
        <w:rPr>
          <w:rFonts w:cs="Times New Roman"/>
          <w:noProof/>
          <w:szCs w:val="24"/>
          <w:lang w:val="en-GB" w:eastAsia="en-GB"/>
        </w:rPr>
        <mc:AlternateContent>
          <mc:Choice Requires="wps">
            <w:drawing>
              <wp:anchor distT="45720" distB="45720" distL="114300" distR="114300" simplePos="0" relativeHeight="251663360" behindDoc="0" locked="0" layoutInCell="1" allowOverlap="1" wp14:anchorId="71D8C3A6" wp14:editId="23D69E09">
                <wp:simplePos x="0" y="0"/>
                <wp:positionH relativeFrom="margin">
                  <wp:posOffset>1887220</wp:posOffset>
                </wp:positionH>
                <wp:positionV relativeFrom="page">
                  <wp:posOffset>6949440</wp:posOffset>
                </wp:positionV>
                <wp:extent cx="2372995" cy="249555"/>
                <wp:effectExtent l="0" t="5080" r="22225" b="22225"/>
                <wp:wrapThrough wrapText="bothSides">
                  <wp:wrapPolygon edited="0">
                    <wp:start x="21646" y="440"/>
                    <wp:lineTo x="-29" y="440"/>
                    <wp:lineTo x="-29" y="21875"/>
                    <wp:lineTo x="21646" y="21875"/>
                    <wp:lineTo x="21646" y="440"/>
                  </wp:wrapPolygon>
                </wp:wrapThrough>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372995" cy="249555"/>
                        </a:xfrm>
                        <a:prstGeom prst="rect">
                          <a:avLst/>
                        </a:prstGeom>
                        <a:ln>
                          <a:solidFill>
                            <a:schemeClr val="tx1"/>
                          </a:solidFill>
                          <a:headEnd/>
                          <a:tailEnd/>
                        </a:ln>
                      </wps:spPr>
                      <wps:style>
                        <a:lnRef idx="2">
                          <a:schemeClr val="dk1"/>
                        </a:lnRef>
                        <a:fillRef idx="1">
                          <a:schemeClr val="lt1"/>
                        </a:fillRef>
                        <a:effectRef idx="0">
                          <a:schemeClr val="dk1"/>
                        </a:effectRef>
                        <a:fontRef idx="minor">
                          <a:schemeClr val="dk1"/>
                        </a:fontRef>
                      </wps:style>
                      <wps:txbx>
                        <w:txbxContent>
                          <w:p w:rsidR="00C4740B" w:rsidRPr="00494556" w:rsidRDefault="00C4740B" w:rsidP="00764823">
                            <w:pPr>
                              <w:jc w:val="center"/>
                              <w:rPr>
                                <w:rFonts w:cs="Times New Roman"/>
                                <w:sz w:val="20"/>
                                <w:szCs w:val="20"/>
                              </w:rPr>
                            </w:pPr>
                            <w:r>
                              <w:rPr>
                                <w:rFonts w:cs="Times New Roman"/>
                                <w:sz w:val="20"/>
                                <w:szCs w:val="20"/>
                              </w:rPr>
                              <w:t>Deriving and manipulating data from BBS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D8C3A6" id="_x0000_s1033" type="#_x0000_t202" style="position:absolute;left:0;text-align:left;margin-left:148.6pt;margin-top:547.2pt;width:186.85pt;height:19.65pt;rotation:-90;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" fillcolor="white [3201]" strokecolor="black [3213]" strokeweight="1pt">
                <v:textbox>
                  <w:txbxContent>
                    <w:p w:rsidR="00C4740B" w:rsidRPr="00494556" w:rsidRDefault="00C4740B" w:rsidP="00764823">
                      <w:pPr>
                        <w:jc w:val="center"/>
                        <w:rPr>
                          <w:rFonts w:cs="Times New Roman"/>
                          <w:sz w:val="20"/>
                          <w:szCs w:val="20"/>
                        </w:rPr>
                      </w:pPr>
                      <w:r>
                        <w:rPr>
                          <w:rFonts w:cs="Times New Roman"/>
                          <w:sz w:val="20"/>
                          <w:szCs w:val="20"/>
                        </w:rPr>
                        <w:t>Deriving and manipulating data from BBS</w:t>
                      </w:r>
                    </w:p>
                  </w:txbxContent>
                </v:textbox>
                <w10:wrap type="through" anchorx="margin" anchory="page"/>
              </v:shape>
            </w:pict>
          </mc:Fallback>
        </mc:AlternateContent>
      </w:r>
      <w:r w:rsidR="00764823" w:rsidRPr="00764823">
        <w:rPr>
          <w:rFonts w:cs="Times New Roman"/>
          <w:noProof/>
          <w:szCs w:val="24"/>
          <w:lang w:val="en-GB" w:eastAsia="en-GB"/>
        </w:rPr>
        <mc:AlternateContent>
          <mc:Choice Requires="wps">
            <w:drawing>
              <wp:anchor distT="0" distB="0" distL="114300" distR="114300" simplePos="0" relativeHeight="251685888" behindDoc="0" locked="0" layoutInCell="1" allowOverlap="1" wp14:anchorId="7B7973F1" wp14:editId="7D61D8FC">
                <wp:simplePos x="0" y="0"/>
                <wp:positionH relativeFrom="column">
                  <wp:posOffset>1673596</wp:posOffset>
                </wp:positionH>
                <wp:positionV relativeFrom="page">
                  <wp:posOffset>6901180</wp:posOffset>
                </wp:positionV>
                <wp:extent cx="104775" cy="57150"/>
                <wp:effectExtent l="0" t="19050" r="47625" b="38100"/>
                <wp:wrapNone/>
                <wp:docPr id="44" name="Right Arrow 44"/>
                <wp:cNvGraphicFramePr/>
                <a:graphic xmlns:a="http://schemas.openxmlformats.org/drawingml/2006/main">
                  <a:graphicData uri="http://schemas.microsoft.com/office/word/2010/wordprocessingShape">
                    <wps:wsp>
                      <wps:cNvSpPr/>
                      <wps:spPr>
                        <a:xfrm>
                          <a:off x="0" y="0"/>
                          <a:ext cx="104775" cy="57150"/>
                        </a:xfrm>
                        <a:prstGeom prst="rightArrow">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DE43C10" id="Right Arrow 44" o:spid="_x0000_s1026" type="#_x0000_t13" style="position:absolute;margin-left:131.8pt;margin-top:543.4pt;width:8.25pt;height:4.5pt;z-index:251685888;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" adj="15709" fillcolor="white [3201]" strokecolor="black [3213]" strokeweight="1pt">
                <w10:wrap anchory="page"/>
              </v:shape>
            </w:pict>
          </mc:Fallback>
        </mc:AlternateContent>
      </w:r>
      <w:r w:rsidR="00764823" w:rsidRPr="00764823">
        <w:rPr>
          <w:rFonts w:cs="Times New Roman"/>
          <w:noProof/>
          <w:szCs w:val="24"/>
          <w:lang w:val="en-GB" w:eastAsia="en-GB"/>
        </w:rPr>
        <mc:AlternateContent>
          <mc:Choice Requires="wps">
            <w:drawing>
              <wp:anchor distT="45720" distB="45720" distL="114300" distR="114300" simplePos="0" relativeHeight="251671552" behindDoc="0" locked="0" layoutInCell="1" allowOverlap="1" wp14:anchorId="0DE779DD" wp14:editId="043ADE98">
                <wp:simplePos x="0" y="0"/>
                <wp:positionH relativeFrom="margin">
                  <wp:posOffset>1743710</wp:posOffset>
                </wp:positionH>
                <wp:positionV relativeFrom="page">
                  <wp:posOffset>5905871</wp:posOffset>
                </wp:positionV>
                <wp:extent cx="1143000" cy="2343150"/>
                <wp:effectExtent l="0" t="0" r="19050" b="19050"/>
                <wp:wrapThrough wrapText="bothSides">
                  <wp:wrapPolygon edited="0">
                    <wp:start x="0" y="0"/>
                    <wp:lineTo x="0" y="21600"/>
                    <wp:lineTo x="21600" y="21600"/>
                    <wp:lineTo x="21600" y="0"/>
                    <wp:lineTo x="0" y="0"/>
                  </wp:wrapPolygon>
                </wp:wrapThrough>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2343150"/>
                        </a:xfrm>
                        <a:prstGeom prst="rect">
                          <a:avLst/>
                        </a:prstGeom>
                        <a:ln>
                          <a:prstDash val="dashDot"/>
                          <a:headEnd/>
                          <a:tailEnd/>
                        </a:ln>
                      </wps:spPr>
                      <wps:style>
                        <a:lnRef idx="2">
                          <a:schemeClr val="dk1"/>
                        </a:lnRef>
                        <a:fillRef idx="1">
                          <a:schemeClr val="lt1"/>
                        </a:fillRef>
                        <a:effectRef idx="0">
                          <a:schemeClr val="dk1"/>
                        </a:effectRef>
                        <a:fontRef idx="minor">
                          <a:schemeClr val="dk1"/>
                        </a:fontRef>
                      </wps:style>
                      <wps:txbx>
                        <w:txbxContent>
                          <w:p w:rsidR="00C4740B" w:rsidRPr="00494556" w:rsidRDefault="00C4740B" w:rsidP="00764823">
                            <w:pPr>
                              <w:jc w:val="center"/>
                              <w:rPr>
                                <w:rFonts w:cs="Times New Roman"/>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E779DD" id="_x0000_s1034" type="#_x0000_t202" style="position:absolute;left:0;text-align:left;margin-left:137.3pt;margin-top:465.05pt;width:90pt;height:184.5pt;z-index:251671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" fillcolor="white [3201]" strokecolor="black [3200]" strokeweight="1pt">
                <v:stroke dashstyle="dashDot"/>
                <v:textbox>
                  <w:txbxContent>
                    <w:p w:rsidR="00C4740B" w:rsidRPr="00494556" w:rsidRDefault="00C4740B" w:rsidP="00764823">
                      <w:pPr>
                        <w:jc w:val="center"/>
                        <w:rPr>
                          <w:rFonts w:cs="Times New Roman"/>
                          <w:sz w:val="20"/>
                          <w:szCs w:val="20"/>
                        </w:rPr>
                      </w:pPr>
                    </w:p>
                  </w:txbxContent>
                </v:textbox>
                <w10:wrap type="through" anchorx="margin" anchory="page"/>
              </v:shape>
            </w:pict>
          </mc:Fallback>
        </mc:AlternateContent>
      </w:r>
      <w:r w:rsidR="00764823" w:rsidRPr="00764823">
        <w:rPr>
          <w:rFonts w:cs="Times New Roman"/>
          <w:noProof/>
          <w:szCs w:val="24"/>
          <w:lang w:val="en-GB" w:eastAsia="en-GB"/>
        </w:rPr>
        <mc:AlternateContent>
          <mc:Choice Requires="wps">
            <w:drawing>
              <wp:anchor distT="0" distB="0" distL="114300" distR="114300" simplePos="0" relativeHeight="251684864" behindDoc="0" locked="0" layoutInCell="1" allowOverlap="1" wp14:anchorId="617A0F62" wp14:editId="22AD1C36">
                <wp:simplePos x="0" y="0"/>
                <wp:positionH relativeFrom="column">
                  <wp:posOffset>811159</wp:posOffset>
                </wp:positionH>
                <wp:positionV relativeFrom="page">
                  <wp:posOffset>6915150</wp:posOffset>
                </wp:positionV>
                <wp:extent cx="104775" cy="57150"/>
                <wp:effectExtent l="0" t="19050" r="47625" b="38100"/>
                <wp:wrapThrough wrapText="bothSides">
                  <wp:wrapPolygon edited="0">
                    <wp:start x="0" y="-7200"/>
                    <wp:lineTo x="0" y="28800"/>
                    <wp:lineTo x="27491" y="28800"/>
                    <wp:lineTo x="27491" y="-7200"/>
                    <wp:lineTo x="0" y="-7200"/>
                  </wp:wrapPolygon>
                </wp:wrapThrough>
                <wp:docPr id="43" name="Right Arrow 43"/>
                <wp:cNvGraphicFramePr/>
                <a:graphic xmlns:a="http://schemas.openxmlformats.org/drawingml/2006/main">
                  <a:graphicData uri="http://schemas.microsoft.com/office/word/2010/wordprocessingShape">
                    <wps:wsp>
                      <wps:cNvSpPr/>
                      <wps:spPr>
                        <a:xfrm>
                          <a:off x="0" y="0"/>
                          <a:ext cx="104775" cy="57150"/>
                        </a:xfrm>
                        <a:prstGeom prst="rightArrow">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F36BB80" id="Right Arrow 43" o:spid="_x0000_s1026" type="#_x0000_t13" style="position:absolute;margin-left:63.85pt;margin-top:544.5pt;width:8.25pt;height:4.5pt;z-index:251684864;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" adj="15709" fillcolor="white [3201]" strokecolor="black [3213]" strokeweight="1pt">
                <w10:wrap type="through" anchory="page"/>
              </v:shape>
            </w:pict>
          </mc:Fallback>
        </mc:AlternateContent>
      </w:r>
      <w:r w:rsidR="00764823" w:rsidRPr="00764823">
        <w:rPr>
          <w:rFonts w:cs="Times New Roman"/>
          <w:noProof/>
          <w:szCs w:val="24"/>
          <w:lang w:val="en-GB" w:eastAsia="en-GB"/>
        </w:rPr>
        <mc:AlternateContent>
          <mc:Choice Requires="wps">
            <w:drawing>
              <wp:anchor distT="0" distB="0" distL="114300" distR="114300" simplePos="0" relativeHeight="251683840" behindDoc="0" locked="0" layoutInCell="1" allowOverlap="1" wp14:anchorId="662015E3" wp14:editId="77F4903C">
                <wp:simplePos x="0" y="0"/>
                <wp:positionH relativeFrom="column">
                  <wp:posOffset>334010</wp:posOffset>
                </wp:positionH>
                <wp:positionV relativeFrom="page">
                  <wp:posOffset>6900281</wp:posOffset>
                </wp:positionV>
                <wp:extent cx="104775" cy="57150"/>
                <wp:effectExtent l="0" t="19050" r="47625" b="38100"/>
                <wp:wrapNone/>
                <wp:docPr id="31" name="Right Arrow 31"/>
                <wp:cNvGraphicFramePr/>
                <a:graphic xmlns:a="http://schemas.openxmlformats.org/drawingml/2006/main">
                  <a:graphicData uri="http://schemas.microsoft.com/office/word/2010/wordprocessingShape">
                    <wps:wsp>
                      <wps:cNvSpPr/>
                      <wps:spPr>
                        <a:xfrm>
                          <a:off x="0" y="0"/>
                          <a:ext cx="104775" cy="57150"/>
                        </a:xfrm>
                        <a:prstGeom prst="rightArrow">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FEFA5A3" id="Right Arrow 31" o:spid="_x0000_s1026" type="#_x0000_t13" style="position:absolute;margin-left:26.3pt;margin-top:543.35pt;width:8.25pt;height:4.5pt;z-index:251683840;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" adj="15709" fillcolor="white [3201]" strokecolor="black [3213]" strokeweight="1pt">
                <w10:wrap anchory="page"/>
              </v:shape>
            </w:pict>
          </mc:Fallback>
        </mc:AlternateContent>
      </w:r>
      <w:r w:rsidR="00764823" w:rsidRPr="00764823">
        <w:rPr>
          <w:rFonts w:cs="Times New Roman"/>
          <w:noProof/>
          <w:szCs w:val="24"/>
          <w:lang w:val="en-GB" w:eastAsia="en-GB"/>
        </w:rPr>
        <mc:AlternateContent>
          <mc:Choice Requires="wps">
            <w:drawing>
              <wp:anchor distT="45720" distB="45720" distL="114300" distR="114300" simplePos="0" relativeHeight="251695104" behindDoc="0" locked="0" layoutInCell="1" allowOverlap="1" wp14:anchorId="7C4E47C7" wp14:editId="62249267">
                <wp:simplePos x="0" y="0"/>
                <wp:positionH relativeFrom="margin">
                  <wp:posOffset>318135</wp:posOffset>
                </wp:positionH>
                <wp:positionV relativeFrom="page">
                  <wp:posOffset>6896735</wp:posOffset>
                </wp:positionV>
                <wp:extent cx="1917065" cy="712470"/>
                <wp:effectExtent l="0" t="7302" r="18732" b="18733"/>
                <wp:wrapThrough wrapText="bothSides">
                  <wp:wrapPolygon edited="0">
                    <wp:start x="21682" y="221"/>
                    <wp:lineTo x="4" y="221"/>
                    <wp:lineTo x="4" y="21590"/>
                    <wp:lineTo x="21682" y="21590"/>
                    <wp:lineTo x="21682" y="221"/>
                  </wp:wrapPolygon>
                </wp:wrapThrough>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917065" cy="712470"/>
                        </a:xfrm>
                        <a:prstGeom prst="rect">
                          <a:avLst/>
                        </a:prstGeom>
                        <a:ln>
                          <a:solidFill>
                            <a:schemeClr val="tx1"/>
                          </a:solidFill>
                          <a:prstDash val="lgDashDot"/>
                          <a:headEnd/>
                          <a:tailEnd/>
                        </a:ln>
                      </wps:spPr>
                      <wps:style>
                        <a:lnRef idx="2">
                          <a:schemeClr val="dk1"/>
                        </a:lnRef>
                        <a:fillRef idx="1">
                          <a:schemeClr val="lt1"/>
                        </a:fillRef>
                        <a:effectRef idx="0">
                          <a:schemeClr val="dk1"/>
                        </a:effectRef>
                        <a:fontRef idx="minor">
                          <a:schemeClr val="dk1"/>
                        </a:fontRef>
                      </wps:style>
                      <wps:txbx>
                        <w:txbxContent>
                          <w:p w:rsidR="00C4740B" w:rsidRPr="00494556" w:rsidRDefault="00C4740B" w:rsidP="00764823">
                            <w:pPr>
                              <w:spacing w:line="240" w:lineRule="auto"/>
                              <w:jc w:val="center"/>
                              <w:rPr>
                                <w:rFonts w:cs="Times New Roman"/>
                                <w:sz w:val="20"/>
                                <w:szCs w:val="20"/>
                              </w:rPr>
                            </w:pPr>
                            <w:r>
                              <w:rPr>
                                <w:rFonts w:cs="Times New Roman"/>
                                <w:sz w:val="20"/>
                                <w:szCs w:val="20"/>
                              </w:rPr>
                              <w:t xml:space="preserve">Adopting 20 indicators for characterizing rural areas, based on literature review &amp; expert views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4E47C7" id="_x0000_s1035" type="#_x0000_t202" style="position:absolute;left:0;text-align:left;margin-left:25.05pt;margin-top:543.05pt;width:150.95pt;height:56.1pt;rotation:-90;z-index:2516951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" fillcolor="white [3201]" strokecolor="black [3213]" strokeweight="1pt">
                <v:stroke dashstyle="longDashDot"/>
                <v:textbox>
                  <w:txbxContent>
                    <w:p w:rsidR="00C4740B" w:rsidRPr="00494556" w:rsidRDefault="00C4740B" w:rsidP="00764823">
                      <w:pPr>
                        <w:spacing w:line="240" w:lineRule="auto"/>
                        <w:jc w:val="center"/>
                        <w:rPr>
                          <w:rFonts w:cs="Times New Roman"/>
                          <w:sz w:val="20"/>
                          <w:szCs w:val="20"/>
                        </w:rPr>
                      </w:pPr>
                      <w:r>
                        <w:rPr>
                          <w:rFonts w:cs="Times New Roman"/>
                          <w:sz w:val="20"/>
                          <w:szCs w:val="20"/>
                        </w:rPr>
                        <w:t xml:space="preserve">Adopting 20 indicators for characterizing rural areas, based on literature review &amp; expert views </w:t>
                      </w:r>
                    </w:p>
                  </w:txbxContent>
                </v:textbox>
                <w10:wrap type="through" anchorx="margin" anchory="page"/>
              </v:shape>
            </w:pict>
          </mc:Fallback>
        </mc:AlternateContent>
      </w:r>
      <w:r w:rsidR="00764823" w:rsidRPr="00764823">
        <w:rPr>
          <w:rFonts w:cs="Times New Roman"/>
          <w:noProof/>
          <w:szCs w:val="24"/>
          <w:lang w:val="en-GB" w:eastAsia="en-GB"/>
        </w:rPr>
        <mc:AlternateContent>
          <mc:Choice Requires="wps">
            <w:drawing>
              <wp:anchor distT="45720" distB="45720" distL="114300" distR="114300" simplePos="0" relativeHeight="251665408" behindDoc="0" locked="0" layoutInCell="1" allowOverlap="1" wp14:anchorId="30117606" wp14:editId="28E9A0A5">
                <wp:simplePos x="0" y="0"/>
                <wp:positionH relativeFrom="margin">
                  <wp:posOffset>886460</wp:posOffset>
                </wp:positionH>
                <wp:positionV relativeFrom="page">
                  <wp:posOffset>5905764</wp:posOffset>
                </wp:positionV>
                <wp:extent cx="790575" cy="2343150"/>
                <wp:effectExtent l="0" t="0" r="28575" b="19050"/>
                <wp:wrapThrough wrapText="bothSides">
                  <wp:wrapPolygon edited="0">
                    <wp:start x="0" y="0"/>
                    <wp:lineTo x="0" y="21600"/>
                    <wp:lineTo x="21860" y="21600"/>
                    <wp:lineTo x="21860" y="0"/>
                    <wp:lineTo x="0" y="0"/>
                  </wp:wrapPolygon>
                </wp:wrapThrough>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2343150"/>
                        </a:xfrm>
                        <a:prstGeom prst="rect">
                          <a:avLst/>
                        </a:prstGeom>
                        <a:ln>
                          <a:solidFill>
                            <a:schemeClr val="tx1"/>
                          </a:solidFill>
                          <a:headEnd/>
                          <a:tailEnd/>
                        </a:ln>
                      </wps:spPr>
                      <wps:style>
                        <a:lnRef idx="2">
                          <a:schemeClr val="dk1"/>
                        </a:lnRef>
                        <a:fillRef idx="1">
                          <a:schemeClr val="lt1"/>
                        </a:fillRef>
                        <a:effectRef idx="0">
                          <a:schemeClr val="dk1"/>
                        </a:effectRef>
                        <a:fontRef idx="minor">
                          <a:schemeClr val="dk1"/>
                        </a:fontRef>
                      </wps:style>
                      <wps:txbx>
                        <w:txbxContent>
                          <w:p w:rsidR="00C4740B" w:rsidRPr="00CE568D" w:rsidRDefault="00C4740B" w:rsidP="00764823">
                            <w:pPr>
                              <w:spacing w:line="240" w:lineRule="auto"/>
                              <w:jc w:val="center"/>
                              <w:rPr>
                                <w:rFonts w:cs="Times New Roman"/>
                                <w:sz w:val="20"/>
                                <w:szCs w:val="20"/>
                              </w:rPr>
                            </w:pPr>
                            <w:r w:rsidRPr="00494556">
                              <w:rPr>
                                <w:rFonts w:cs="Times New Roman"/>
                                <w:sz w:val="20"/>
                                <w:szCs w:val="20"/>
                              </w:rPr>
                              <w:t>Indicator</w:t>
                            </w:r>
                            <w:r>
                              <w:rPr>
                                <w:rFonts w:cs="Times New Roman"/>
                                <w:sz w:val="20"/>
                                <w:szCs w:val="20"/>
                              </w:rPr>
                              <w:t>s</w:t>
                            </w:r>
                            <w:r w:rsidRPr="00494556">
                              <w:rPr>
                                <w:rFonts w:cs="Times New Roman"/>
                                <w:sz w:val="20"/>
                                <w:szCs w:val="20"/>
                              </w:rPr>
                              <w:t xml:space="preserve"> Selection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117606" id="_x0000_s1036" type="#_x0000_t202" style="position:absolute;left:0;text-align:left;margin-left:69.8pt;margin-top:465pt;width:62.25pt;height:184.5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" fillcolor="white [3201]" strokecolor="black [3213]" strokeweight="1pt">
                <v:textbox>
                  <w:txbxContent>
                    <w:p w:rsidR="00C4740B" w:rsidRPr="00CE568D" w:rsidRDefault="00C4740B" w:rsidP="00764823">
                      <w:pPr>
                        <w:spacing w:line="240" w:lineRule="auto"/>
                        <w:jc w:val="center"/>
                        <w:rPr>
                          <w:rFonts w:cs="Times New Roman"/>
                          <w:sz w:val="20"/>
                          <w:szCs w:val="20"/>
                        </w:rPr>
                      </w:pPr>
                      <w:r w:rsidRPr="00494556">
                        <w:rPr>
                          <w:rFonts w:cs="Times New Roman"/>
                          <w:sz w:val="20"/>
                          <w:szCs w:val="20"/>
                        </w:rPr>
                        <w:t>Indicator</w:t>
                      </w:r>
                      <w:r>
                        <w:rPr>
                          <w:rFonts w:cs="Times New Roman"/>
                          <w:sz w:val="20"/>
                          <w:szCs w:val="20"/>
                        </w:rPr>
                        <w:t>s</w:t>
                      </w:r>
                      <w:r w:rsidRPr="00494556">
                        <w:rPr>
                          <w:rFonts w:cs="Times New Roman"/>
                          <w:sz w:val="20"/>
                          <w:szCs w:val="20"/>
                        </w:rPr>
                        <w:t xml:space="preserve"> Selection</w:t>
                      </w:r>
                    </w:p>
                  </w:txbxContent>
                </v:textbox>
                <w10:wrap type="through" anchorx="margin" anchory="page"/>
              </v:shape>
            </w:pict>
          </mc:Fallback>
        </mc:AlternateContent>
      </w:r>
      <w:r w:rsidR="00764823" w:rsidRPr="00764823">
        <w:rPr>
          <w:rFonts w:cs="Times New Roman"/>
          <w:noProof/>
          <w:szCs w:val="24"/>
          <w:lang w:val="en-GB" w:eastAsia="en-GB"/>
        </w:rPr>
        <mc:AlternateContent>
          <mc:Choice Requires="wps">
            <w:drawing>
              <wp:anchor distT="45720" distB="45720" distL="114300" distR="114300" simplePos="0" relativeHeight="251682816" behindDoc="0" locked="0" layoutInCell="1" allowOverlap="1" wp14:anchorId="25C492F7" wp14:editId="0146C9FA">
                <wp:simplePos x="0" y="0"/>
                <wp:positionH relativeFrom="margin">
                  <wp:posOffset>2227580</wp:posOffset>
                </wp:positionH>
                <wp:positionV relativeFrom="page">
                  <wp:posOffset>6960235</wp:posOffset>
                </wp:positionV>
                <wp:extent cx="2322830" cy="249555"/>
                <wp:effectExtent l="7937" t="0" r="28258" b="28257"/>
                <wp:wrapThrough wrapText="bothSides">
                  <wp:wrapPolygon edited="0">
                    <wp:start x="21526" y="-687"/>
                    <wp:lineTo x="-86" y="-687"/>
                    <wp:lineTo x="-86" y="22397"/>
                    <wp:lineTo x="21526" y="22397"/>
                    <wp:lineTo x="21526" y="-687"/>
                  </wp:wrapPolygon>
                </wp:wrapThrough>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322830" cy="249555"/>
                        </a:xfrm>
                        <a:prstGeom prst="rect">
                          <a:avLst/>
                        </a:prstGeom>
                        <a:ln>
                          <a:solidFill>
                            <a:schemeClr val="tx1"/>
                          </a:solidFill>
                          <a:headEnd/>
                          <a:tailEnd/>
                        </a:ln>
                      </wps:spPr>
                      <wps:style>
                        <a:lnRef idx="2">
                          <a:schemeClr val="dk1"/>
                        </a:lnRef>
                        <a:fillRef idx="1">
                          <a:schemeClr val="lt1"/>
                        </a:fillRef>
                        <a:effectRef idx="0">
                          <a:schemeClr val="dk1"/>
                        </a:effectRef>
                        <a:fontRef idx="minor">
                          <a:schemeClr val="dk1"/>
                        </a:fontRef>
                      </wps:style>
                      <wps:txbx>
                        <w:txbxContent>
                          <w:p w:rsidR="00C4740B" w:rsidRPr="00494556" w:rsidRDefault="00C4740B" w:rsidP="00764823">
                            <w:pPr>
                              <w:jc w:val="center"/>
                              <w:rPr>
                                <w:rFonts w:cs="Times New Roman"/>
                                <w:sz w:val="20"/>
                                <w:szCs w:val="20"/>
                              </w:rPr>
                            </w:pPr>
                            <w:r>
                              <w:rPr>
                                <w:rFonts w:cs="Times New Roman"/>
                                <w:sz w:val="20"/>
                                <w:szCs w:val="20"/>
                              </w:rPr>
                              <w:t>Data Entry &amp; Finalizing for analysis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C492F7" id="_x0000_s1037" type="#_x0000_t202" style="position:absolute;left:0;text-align:left;margin-left:175.4pt;margin-top:548.05pt;width:182.9pt;height:19.65pt;rotation:-90;z-index:2516828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" fillcolor="white [3201]" strokecolor="black [3213]" strokeweight="1pt">
                <v:textbox>
                  <w:txbxContent>
                    <w:p w:rsidR="00C4740B" w:rsidRPr="00494556" w:rsidRDefault="00C4740B" w:rsidP="00764823">
                      <w:pPr>
                        <w:jc w:val="center"/>
                        <w:rPr>
                          <w:rFonts w:cs="Times New Roman"/>
                          <w:sz w:val="20"/>
                          <w:szCs w:val="20"/>
                        </w:rPr>
                      </w:pPr>
                      <w:r>
                        <w:rPr>
                          <w:rFonts w:cs="Times New Roman"/>
                          <w:sz w:val="20"/>
                          <w:szCs w:val="20"/>
                        </w:rPr>
                        <w:t>Data Entry &amp; Finalizing for analysis</w:t>
                      </w:r>
                    </w:p>
                  </w:txbxContent>
                </v:textbox>
                <w10:wrap type="through" anchorx="margin" anchory="page"/>
              </v:shape>
            </w:pict>
          </mc:Fallback>
        </mc:AlternateContent>
      </w:r>
      <w:r w:rsidR="00764823" w:rsidRPr="00764823">
        <w:rPr>
          <w:rFonts w:cs="Times New Roman"/>
          <w:noProof/>
          <w:szCs w:val="24"/>
          <w:lang w:val="en-GB" w:eastAsia="en-GB"/>
        </w:rPr>
        <mc:AlternateContent>
          <mc:Choice Requires="wps">
            <w:drawing>
              <wp:anchor distT="45720" distB="45720" distL="114300" distR="114300" simplePos="0" relativeHeight="251669504" behindDoc="0" locked="0" layoutInCell="1" allowOverlap="1" wp14:anchorId="13BF30CC" wp14:editId="28BFC5B3">
                <wp:simplePos x="0" y="0"/>
                <wp:positionH relativeFrom="margin">
                  <wp:posOffset>2796540</wp:posOffset>
                </wp:positionH>
                <wp:positionV relativeFrom="paragraph">
                  <wp:posOffset>4055745</wp:posOffset>
                </wp:positionV>
                <wp:extent cx="942975" cy="560705"/>
                <wp:effectExtent l="0" t="0" r="9525" b="0"/>
                <wp:wrapThrough wrapText="bothSides">
                  <wp:wrapPolygon edited="0">
                    <wp:start x="0" y="0"/>
                    <wp:lineTo x="0" y="20548"/>
                    <wp:lineTo x="21382" y="20548"/>
                    <wp:lineTo x="21382" y="0"/>
                    <wp:lineTo x="0" y="0"/>
                  </wp:wrapPolygon>
                </wp:wrapThrough>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560705"/>
                        </a:xfrm>
                        <a:prstGeom prst="rect">
                          <a:avLst/>
                        </a:prstGeom>
                        <a:solidFill>
                          <a:srgbClr val="FFFFFF"/>
                        </a:solidFill>
                        <a:ln w="9525">
                          <a:noFill/>
                          <a:miter lim="800000"/>
                          <a:headEnd/>
                          <a:tailEnd/>
                        </a:ln>
                      </wps:spPr>
                      <wps:txbx>
                        <w:txbxContent>
                          <w:p w:rsidR="00C4740B" w:rsidRPr="00CE568D" w:rsidRDefault="00C4740B" w:rsidP="00764823">
                            <w:pPr>
                              <w:spacing w:line="240" w:lineRule="auto"/>
                              <w:jc w:val="center"/>
                              <w:rPr>
                                <w:rFonts w:cs="Times New Roman"/>
                                <w:sz w:val="20"/>
                                <w:szCs w:val="20"/>
                              </w:rPr>
                            </w:pPr>
                            <w:r w:rsidRPr="00CE568D">
                              <w:rPr>
                                <w:rFonts w:cs="Times New Roman"/>
                                <w:sz w:val="20"/>
                                <w:szCs w:val="20"/>
                              </w:rPr>
                              <w:t>Stage 03: Data collection &amp; Processing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BF30CC" id="_x0000_s1038" type="#_x0000_t202" style="position:absolute;left:0;text-align:left;margin-left:220.2pt;margin-top:319.35pt;width:74.25pt;height:44.15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" stroked="f">
                <v:textbox>
                  <w:txbxContent>
                    <w:p w:rsidR="00C4740B" w:rsidRPr="00CE568D" w:rsidRDefault="00C4740B" w:rsidP="00764823">
                      <w:pPr>
                        <w:spacing w:line="240" w:lineRule="auto"/>
                        <w:jc w:val="center"/>
                        <w:rPr>
                          <w:rFonts w:cs="Times New Roman"/>
                          <w:sz w:val="20"/>
                          <w:szCs w:val="20"/>
                        </w:rPr>
                      </w:pPr>
                      <w:r w:rsidRPr="00CE568D">
                        <w:rPr>
                          <w:rFonts w:cs="Times New Roman"/>
                          <w:sz w:val="20"/>
                          <w:szCs w:val="20"/>
                        </w:rPr>
                        <w:t>Stage 03: Data collection &amp; Processing</w:t>
                      </w:r>
                    </w:p>
                  </w:txbxContent>
                </v:textbox>
                <w10:wrap type="through" anchorx="margin"/>
              </v:shape>
            </w:pict>
          </mc:Fallback>
        </mc:AlternateContent>
      </w:r>
      <w:r w:rsidR="00764823" w:rsidRPr="00764823">
        <w:rPr>
          <w:rFonts w:cs="Times New Roman"/>
          <w:noProof/>
          <w:szCs w:val="24"/>
          <w:lang w:val="en-GB" w:eastAsia="en-GB"/>
        </w:rPr>
        <mc:AlternateContent>
          <mc:Choice Requires="wps">
            <w:drawing>
              <wp:anchor distT="45720" distB="45720" distL="114300" distR="114300" simplePos="0" relativeHeight="251667456" behindDoc="0" locked="0" layoutInCell="1" allowOverlap="1" wp14:anchorId="60101CDC" wp14:editId="65300849">
                <wp:simplePos x="0" y="0"/>
                <wp:positionH relativeFrom="margin">
                  <wp:posOffset>1588770</wp:posOffset>
                </wp:positionH>
                <wp:positionV relativeFrom="paragraph">
                  <wp:posOffset>4168140</wp:posOffset>
                </wp:positionV>
                <wp:extent cx="1323975" cy="405130"/>
                <wp:effectExtent l="0" t="0" r="0" b="0"/>
                <wp:wrapThrough wrapText="bothSides">
                  <wp:wrapPolygon edited="0">
                    <wp:start x="932" y="0"/>
                    <wp:lineTo x="932" y="20313"/>
                    <wp:lineTo x="20512" y="20313"/>
                    <wp:lineTo x="20512" y="0"/>
                    <wp:lineTo x="932" y="0"/>
                  </wp:wrapPolygon>
                </wp:wrapThrough>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405130"/>
                        </a:xfrm>
                        <a:prstGeom prst="rect">
                          <a:avLst/>
                        </a:prstGeom>
                        <a:noFill/>
                        <a:ln w="9525">
                          <a:noFill/>
                          <a:miter lim="800000"/>
                          <a:headEnd/>
                          <a:tailEnd/>
                        </a:ln>
                      </wps:spPr>
                      <wps:txbx>
                        <w:txbxContent>
                          <w:p w:rsidR="00C4740B" w:rsidRPr="002D72F3" w:rsidRDefault="00C4740B" w:rsidP="00764823">
                            <w:pPr>
                              <w:spacing w:line="240" w:lineRule="auto"/>
                              <w:jc w:val="center"/>
                              <w:rPr>
                                <w:rFonts w:cs="Times New Roman"/>
                                <w:sz w:val="20"/>
                                <w:szCs w:val="20"/>
                              </w:rPr>
                            </w:pPr>
                            <w:r w:rsidRPr="002D72F3">
                              <w:rPr>
                                <w:rFonts w:cs="Times New Roman"/>
                                <w:sz w:val="20"/>
                                <w:szCs w:val="20"/>
                              </w:rPr>
                              <w:t>Stage 02: Developing Methodology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101CDC" id="_x0000_s1039" type="#_x0000_t202" style="position:absolute;left:0;text-align:left;margin-left:125.1pt;margin-top:328.2pt;width:104.25pt;height:31.9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" filled="f" stroked="f">
                <v:textbox>
                  <w:txbxContent>
                    <w:p w:rsidR="00C4740B" w:rsidRPr="002D72F3" w:rsidRDefault="00C4740B" w:rsidP="00764823">
                      <w:pPr>
                        <w:spacing w:line="240" w:lineRule="auto"/>
                        <w:jc w:val="center"/>
                        <w:rPr>
                          <w:rFonts w:cs="Times New Roman"/>
                          <w:sz w:val="20"/>
                          <w:szCs w:val="20"/>
                        </w:rPr>
                      </w:pPr>
                      <w:r w:rsidRPr="002D72F3">
                        <w:rPr>
                          <w:rFonts w:cs="Times New Roman"/>
                          <w:sz w:val="20"/>
                          <w:szCs w:val="20"/>
                        </w:rPr>
                        <w:t>Stage 02: Developing Methodology</w:t>
                      </w:r>
                    </w:p>
                  </w:txbxContent>
                </v:textbox>
                <w10:wrap type="through" anchorx="margin"/>
              </v:shape>
            </w:pict>
          </mc:Fallback>
        </mc:AlternateContent>
      </w:r>
      <w:r w:rsidR="00764823" w:rsidRPr="00764823">
        <w:rPr>
          <w:rFonts w:cs="Times New Roman"/>
          <w:noProof/>
          <w:szCs w:val="24"/>
          <w:lang w:val="en-GB" w:eastAsia="en-GB"/>
        </w:rPr>
        <mc:AlternateContent>
          <mc:Choice Requires="wps">
            <w:drawing>
              <wp:anchor distT="45720" distB="45720" distL="114300" distR="114300" simplePos="0" relativeHeight="251657214" behindDoc="0" locked="0" layoutInCell="1" allowOverlap="1" wp14:anchorId="1531107B" wp14:editId="165203C5">
                <wp:simplePos x="0" y="0"/>
                <wp:positionH relativeFrom="margin">
                  <wp:posOffset>-551815</wp:posOffset>
                </wp:positionH>
                <wp:positionV relativeFrom="page">
                  <wp:posOffset>6893560</wp:posOffset>
                </wp:positionV>
                <wp:extent cx="2324100" cy="414020"/>
                <wp:effectExtent l="2540" t="0" r="21590" b="21590"/>
                <wp:wrapThrough wrapText="bothSides">
                  <wp:wrapPolygon edited="0">
                    <wp:start x="21576" y="-133"/>
                    <wp:lineTo x="-24" y="-133"/>
                    <wp:lineTo x="-24" y="21733"/>
                    <wp:lineTo x="21576" y="21733"/>
                    <wp:lineTo x="21576" y="-133"/>
                  </wp:wrapPolygon>
                </wp:wrapThrough>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324100" cy="414020"/>
                        </a:xfrm>
                        <a:prstGeom prst="rect">
                          <a:avLst/>
                        </a:prstGeom>
                        <a:ln>
                          <a:solidFill>
                            <a:schemeClr val="tx1"/>
                          </a:solidFill>
                          <a:headEnd/>
                          <a:tailEnd/>
                        </a:ln>
                      </wps:spPr>
                      <wps:style>
                        <a:lnRef idx="2">
                          <a:schemeClr val="dk1"/>
                        </a:lnRef>
                        <a:fillRef idx="1">
                          <a:schemeClr val="lt1"/>
                        </a:fillRef>
                        <a:effectRef idx="0">
                          <a:schemeClr val="dk1"/>
                        </a:effectRef>
                        <a:fontRef idx="minor">
                          <a:schemeClr val="dk1"/>
                        </a:fontRef>
                      </wps:style>
                      <wps:txbx>
                        <w:txbxContent>
                          <w:p w:rsidR="00C4740B" w:rsidRPr="00494556" w:rsidRDefault="00C4740B" w:rsidP="00764823">
                            <w:pPr>
                              <w:spacing w:line="240" w:lineRule="auto"/>
                              <w:jc w:val="center"/>
                              <w:rPr>
                                <w:rFonts w:cs="Times New Roman"/>
                                <w:sz w:val="20"/>
                                <w:szCs w:val="20"/>
                              </w:rPr>
                            </w:pPr>
                            <w:r>
                              <w:rPr>
                                <w:rFonts w:cs="Times New Roman"/>
                                <w:sz w:val="20"/>
                                <w:szCs w:val="20"/>
                              </w:rPr>
                              <w:t>Conceptualization of rurality and rurality indexing methodology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31107B" id="_x0000_s1040" type="#_x0000_t202" style="position:absolute;left:0;text-align:left;margin-left:-43.45pt;margin-top:542.8pt;width:183pt;height:32.6pt;rotation:-90;z-index:25165721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" fillcolor="white [3201]" strokecolor="black [3213]" strokeweight="1pt">
                <v:textbox>
                  <w:txbxContent>
                    <w:p w:rsidR="00C4740B" w:rsidRPr="00494556" w:rsidRDefault="00C4740B" w:rsidP="00764823">
                      <w:pPr>
                        <w:spacing w:line="240" w:lineRule="auto"/>
                        <w:jc w:val="center"/>
                        <w:rPr>
                          <w:rFonts w:cs="Times New Roman"/>
                          <w:sz w:val="20"/>
                          <w:szCs w:val="20"/>
                        </w:rPr>
                      </w:pPr>
                      <w:r>
                        <w:rPr>
                          <w:rFonts w:cs="Times New Roman"/>
                          <w:sz w:val="20"/>
                          <w:szCs w:val="20"/>
                        </w:rPr>
                        <w:t>Conceptualization of rurality and rurality indexing methodology</w:t>
                      </w:r>
                    </w:p>
                  </w:txbxContent>
                </v:textbox>
                <w10:wrap type="through" anchorx="margin" anchory="page"/>
              </v:shape>
            </w:pict>
          </mc:Fallback>
        </mc:AlternateContent>
      </w:r>
      <w:r w:rsidR="00764823" w:rsidRPr="00764823">
        <w:rPr>
          <w:rFonts w:cs="Times New Roman"/>
          <w:noProof/>
          <w:szCs w:val="24"/>
          <w:lang w:val="en-GB" w:eastAsia="en-GB"/>
        </w:rPr>
        <mc:AlternateContent>
          <mc:Choice Requires="wps">
            <w:drawing>
              <wp:anchor distT="45720" distB="45720" distL="114300" distR="114300" simplePos="0" relativeHeight="251668480" behindDoc="0" locked="0" layoutInCell="1" allowOverlap="1" wp14:anchorId="6367622C" wp14:editId="102E2860">
                <wp:simplePos x="0" y="0"/>
                <wp:positionH relativeFrom="margin">
                  <wp:posOffset>3820160</wp:posOffset>
                </wp:positionH>
                <wp:positionV relativeFrom="page">
                  <wp:posOffset>5283835</wp:posOffset>
                </wp:positionV>
                <wp:extent cx="1390650" cy="466725"/>
                <wp:effectExtent l="0" t="0" r="0" b="9525"/>
                <wp:wrapThrough wrapText="bothSides">
                  <wp:wrapPolygon edited="0">
                    <wp:start x="0" y="0"/>
                    <wp:lineTo x="0" y="21159"/>
                    <wp:lineTo x="21304" y="21159"/>
                    <wp:lineTo x="21304" y="0"/>
                    <wp:lineTo x="0" y="0"/>
                  </wp:wrapPolygon>
                </wp:wrapThrough>
                <wp:docPr id="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0" cy="466725"/>
                        </a:xfrm>
                        <a:prstGeom prst="rect">
                          <a:avLst/>
                        </a:prstGeom>
                        <a:solidFill>
                          <a:srgbClr val="FFFFFF"/>
                        </a:solidFill>
                        <a:ln w="9525">
                          <a:noFill/>
                          <a:miter lim="800000"/>
                          <a:headEnd/>
                          <a:tailEnd/>
                        </a:ln>
                      </wps:spPr>
                      <wps:txbx>
                        <w:txbxContent>
                          <w:p w:rsidR="00C4740B" w:rsidRPr="00CE568D" w:rsidRDefault="00C4740B" w:rsidP="00764823">
                            <w:pPr>
                              <w:spacing w:line="240" w:lineRule="auto"/>
                              <w:jc w:val="center"/>
                              <w:rPr>
                                <w:rFonts w:cs="Times New Roman"/>
                                <w:sz w:val="20"/>
                                <w:szCs w:val="20"/>
                              </w:rPr>
                            </w:pPr>
                            <w:r w:rsidRPr="00CE568D">
                              <w:rPr>
                                <w:rFonts w:cs="Times New Roman"/>
                                <w:sz w:val="20"/>
                                <w:szCs w:val="20"/>
                              </w:rPr>
                              <w:t>Stage 04: Data Analysis &amp; Illustration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67622C" id="_x0000_s1041" type="#_x0000_t202" style="position:absolute;left:0;text-align:left;margin-left:300.8pt;margin-top:416.05pt;width:109.5pt;height:36.75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" stroked="f">
                <v:textbox>
                  <w:txbxContent>
                    <w:p w:rsidR="00C4740B" w:rsidRPr="00CE568D" w:rsidRDefault="00C4740B" w:rsidP="00764823">
                      <w:pPr>
                        <w:spacing w:line="240" w:lineRule="auto"/>
                        <w:jc w:val="center"/>
                        <w:rPr>
                          <w:rFonts w:cs="Times New Roman"/>
                          <w:sz w:val="20"/>
                          <w:szCs w:val="20"/>
                        </w:rPr>
                      </w:pPr>
                      <w:r w:rsidRPr="00CE568D">
                        <w:rPr>
                          <w:rFonts w:cs="Times New Roman"/>
                          <w:sz w:val="20"/>
                          <w:szCs w:val="20"/>
                        </w:rPr>
                        <w:t>Stage 04: Data Analysis &amp; Illustration</w:t>
                      </w:r>
                    </w:p>
                  </w:txbxContent>
                </v:textbox>
                <w10:wrap type="through" anchorx="margin" anchory="page"/>
              </v:shape>
            </w:pict>
          </mc:Fallback>
        </mc:AlternateContent>
      </w:r>
      <w:r w:rsidR="00764823" w:rsidRPr="00764823">
        <w:rPr>
          <w:rFonts w:cs="Times New Roman"/>
          <w:noProof/>
          <w:szCs w:val="24"/>
          <w:lang w:val="en-GB" w:eastAsia="en-GB"/>
        </w:rPr>
        <mc:AlternateContent>
          <mc:Choice Requires="wps">
            <w:drawing>
              <wp:anchor distT="45720" distB="45720" distL="114300" distR="114300" simplePos="0" relativeHeight="251670528" behindDoc="0" locked="0" layoutInCell="1" allowOverlap="1" wp14:anchorId="55CF9E0D" wp14:editId="18EF34E3">
                <wp:simplePos x="0" y="0"/>
                <wp:positionH relativeFrom="margin">
                  <wp:posOffset>-1018540</wp:posOffset>
                </wp:positionH>
                <wp:positionV relativeFrom="page">
                  <wp:posOffset>6893560</wp:posOffset>
                </wp:positionV>
                <wp:extent cx="2324100" cy="414020"/>
                <wp:effectExtent l="2540" t="0" r="21590" b="21590"/>
                <wp:wrapThrough wrapText="bothSides">
                  <wp:wrapPolygon edited="0">
                    <wp:start x="21576" y="-133"/>
                    <wp:lineTo x="-24" y="-133"/>
                    <wp:lineTo x="-24" y="21733"/>
                    <wp:lineTo x="21576" y="21733"/>
                    <wp:lineTo x="21576" y="-133"/>
                  </wp:wrapPolygon>
                </wp:wrapThrough>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324100" cy="414020"/>
                        </a:xfrm>
                        <a:prstGeom prst="rect">
                          <a:avLst/>
                        </a:prstGeom>
                        <a:ln>
                          <a:solidFill>
                            <a:schemeClr val="tx1"/>
                          </a:solidFill>
                          <a:headEnd/>
                          <a:tailEnd/>
                        </a:ln>
                      </wps:spPr>
                      <wps:style>
                        <a:lnRef idx="2">
                          <a:schemeClr val="dk1"/>
                        </a:lnRef>
                        <a:fillRef idx="1">
                          <a:schemeClr val="lt1"/>
                        </a:fillRef>
                        <a:effectRef idx="0">
                          <a:schemeClr val="dk1"/>
                        </a:effectRef>
                        <a:fontRef idx="minor">
                          <a:schemeClr val="dk1"/>
                        </a:fontRef>
                      </wps:style>
                      <wps:txbx>
                        <w:txbxContent>
                          <w:p w:rsidR="00C4740B" w:rsidRPr="00494556" w:rsidRDefault="00C4740B" w:rsidP="00764823">
                            <w:pPr>
                              <w:spacing w:line="240" w:lineRule="auto"/>
                              <w:jc w:val="center"/>
                              <w:rPr>
                                <w:rFonts w:cs="Times New Roman"/>
                                <w:sz w:val="20"/>
                                <w:szCs w:val="20"/>
                              </w:rPr>
                            </w:pPr>
                            <w:r w:rsidRPr="00494556">
                              <w:rPr>
                                <w:rFonts w:cs="Times New Roman"/>
                                <w:sz w:val="20"/>
                                <w:szCs w:val="20"/>
                              </w:rPr>
                              <w:t>Review of Related Literature &amp; Secondary Sources of Information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CF9E0D" id="_x0000_s1042" type="#_x0000_t202" style="position:absolute;left:0;text-align:left;margin-left:-80.2pt;margin-top:542.8pt;width:183pt;height:32.6pt;rotation:-90;z-index:251670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" fillcolor="white [3201]" strokecolor="black [3213]" strokeweight="1pt">
                <v:textbox>
                  <w:txbxContent>
                    <w:p w:rsidR="00C4740B" w:rsidRPr="00494556" w:rsidRDefault="00C4740B" w:rsidP="00764823">
                      <w:pPr>
                        <w:spacing w:line="240" w:lineRule="auto"/>
                        <w:jc w:val="center"/>
                        <w:rPr>
                          <w:rFonts w:cs="Times New Roman"/>
                          <w:sz w:val="20"/>
                          <w:szCs w:val="20"/>
                        </w:rPr>
                      </w:pPr>
                      <w:r w:rsidRPr="00494556">
                        <w:rPr>
                          <w:rFonts w:cs="Times New Roman"/>
                          <w:sz w:val="20"/>
                          <w:szCs w:val="20"/>
                        </w:rPr>
                        <w:t>Review of Related Literature &amp; Secondary Sources of Information</w:t>
                      </w:r>
                    </w:p>
                  </w:txbxContent>
                </v:textbox>
                <w10:wrap type="through" anchorx="margin" anchory="page"/>
              </v:shape>
            </w:pict>
          </mc:Fallback>
        </mc:AlternateContent>
      </w:r>
      <w:r w:rsidR="00764823" w:rsidRPr="00764823">
        <w:rPr>
          <w:rFonts w:cs="Times New Roman"/>
          <w:noProof/>
          <w:szCs w:val="24"/>
          <w:lang w:val="en-GB" w:eastAsia="en-GB"/>
        </w:rPr>
        <mc:AlternateContent>
          <mc:Choice Requires="wps">
            <w:drawing>
              <wp:anchor distT="45720" distB="45720" distL="114300" distR="114300" simplePos="0" relativeHeight="251675648" behindDoc="0" locked="0" layoutInCell="1" allowOverlap="1" wp14:anchorId="2BCCABFA" wp14:editId="65EE628B">
                <wp:simplePos x="0" y="0"/>
                <wp:positionH relativeFrom="margin">
                  <wp:posOffset>3601085</wp:posOffset>
                </wp:positionH>
                <wp:positionV relativeFrom="page">
                  <wp:posOffset>5969635</wp:posOffset>
                </wp:positionV>
                <wp:extent cx="1200150" cy="1333500"/>
                <wp:effectExtent l="0" t="0" r="19050" b="19050"/>
                <wp:wrapThrough wrapText="bothSides">
                  <wp:wrapPolygon edited="0">
                    <wp:start x="0" y="0"/>
                    <wp:lineTo x="0" y="21600"/>
                    <wp:lineTo x="21600" y="21600"/>
                    <wp:lineTo x="21600" y="0"/>
                    <wp:lineTo x="0" y="0"/>
                  </wp:wrapPolygon>
                </wp:wrapThrough>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1333500"/>
                        </a:xfrm>
                        <a:prstGeom prst="rect">
                          <a:avLst/>
                        </a:prstGeom>
                        <a:ln>
                          <a:solidFill>
                            <a:schemeClr val="tx1"/>
                          </a:solidFill>
                          <a:headEnd/>
                          <a:tailEnd/>
                        </a:ln>
                      </wps:spPr>
                      <wps:style>
                        <a:lnRef idx="2">
                          <a:schemeClr val="dk1"/>
                        </a:lnRef>
                        <a:fillRef idx="1">
                          <a:schemeClr val="lt1"/>
                        </a:fillRef>
                        <a:effectRef idx="0">
                          <a:schemeClr val="dk1"/>
                        </a:effectRef>
                        <a:fontRef idx="minor">
                          <a:schemeClr val="dk1"/>
                        </a:fontRef>
                      </wps:style>
                      <wps:txbx>
                        <w:txbxContent>
                          <w:p w:rsidR="00C4740B" w:rsidRPr="00494556" w:rsidRDefault="00C4740B" w:rsidP="00764823">
                            <w:pPr>
                              <w:spacing w:line="240" w:lineRule="auto"/>
                              <w:jc w:val="center"/>
                              <w:rPr>
                                <w:rFonts w:cs="Times New Roman"/>
                                <w:sz w:val="20"/>
                                <w:szCs w:val="20"/>
                              </w:rPr>
                            </w:pPr>
                            <w:r>
                              <w:rPr>
                                <w:rFonts w:cs="Times New Roman"/>
                                <w:sz w:val="20"/>
                                <w:szCs w:val="20"/>
                              </w:rPr>
                              <w:t xml:space="preserve">Application of normalization indexing &amp; rurality indexing methods for measuring rurality and characterizing rural areas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CCABFA" id="_x0000_s1043" type="#_x0000_t202" style="position:absolute;left:0;text-align:left;margin-left:283.55pt;margin-top:470.05pt;width:94.5pt;height:105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" fillcolor="white [3201]" strokecolor="black [3213]" strokeweight="1pt">
                <v:textbox>
                  <w:txbxContent>
                    <w:p w:rsidR="00C4740B" w:rsidRPr="00494556" w:rsidRDefault="00C4740B" w:rsidP="00764823">
                      <w:pPr>
                        <w:spacing w:line="240" w:lineRule="auto"/>
                        <w:jc w:val="center"/>
                        <w:rPr>
                          <w:rFonts w:cs="Times New Roman"/>
                          <w:sz w:val="20"/>
                          <w:szCs w:val="20"/>
                        </w:rPr>
                      </w:pPr>
                      <w:r>
                        <w:rPr>
                          <w:rFonts w:cs="Times New Roman"/>
                          <w:sz w:val="20"/>
                          <w:szCs w:val="20"/>
                        </w:rPr>
                        <w:t xml:space="preserve">Application of normalization indexing &amp; rurality indexing methods for measuring rurality and characterizing rural areas  </w:t>
                      </w:r>
                    </w:p>
                  </w:txbxContent>
                </v:textbox>
                <w10:wrap type="through" anchorx="margin" anchory="page"/>
              </v:shape>
            </w:pict>
          </mc:Fallback>
        </mc:AlternateContent>
      </w:r>
      <w:r w:rsidR="00764823" w:rsidRPr="00764823">
        <w:rPr>
          <w:rFonts w:cs="Times New Roman"/>
          <w:noProof/>
          <w:szCs w:val="24"/>
          <w:lang w:val="en-GB" w:eastAsia="en-GB"/>
        </w:rPr>
        <mc:AlternateContent>
          <mc:Choice Requires="wps">
            <w:drawing>
              <wp:anchor distT="45720" distB="45720" distL="114300" distR="114300" simplePos="0" relativeHeight="251676672" behindDoc="0" locked="0" layoutInCell="1" allowOverlap="1" wp14:anchorId="05476EB4" wp14:editId="206E9AB4">
                <wp:simplePos x="0" y="0"/>
                <wp:positionH relativeFrom="margin">
                  <wp:posOffset>3601085</wp:posOffset>
                </wp:positionH>
                <wp:positionV relativeFrom="paragraph">
                  <wp:posOffset>6162040</wp:posOffset>
                </wp:positionV>
                <wp:extent cx="1209675" cy="876300"/>
                <wp:effectExtent l="0" t="0" r="28575" b="19050"/>
                <wp:wrapThrough wrapText="bothSides">
                  <wp:wrapPolygon edited="0">
                    <wp:start x="0" y="0"/>
                    <wp:lineTo x="0" y="21600"/>
                    <wp:lineTo x="21770" y="21600"/>
                    <wp:lineTo x="21770" y="0"/>
                    <wp:lineTo x="0" y="0"/>
                  </wp:wrapPolygon>
                </wp:wrapThrough>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876300"/>
                        </a:xfrm>
                        <a:prstGeom prst="rect">
                          <a:avLst/>
                        </a:prstGeom>
                        <a:ln>
                          <a:solidFill>
                            <a:schemeClr val="tx1"/>
                          </a:solidFill>
                          <a:headEnd/>
                          <a:tailEnd/>
                        </a:ln>
                      </wps:spPr>
                      <wps:style>
                        <a:lnRef idx="2">
                          <a:schemeClr val="dk1"/>
                        </a:lnRef>
                        <a:fillRef idx="1">
                          <a:schemeClr val="lt1"/>
                        </a:fillRef>
                        <a:effectRef idx="0">
                          <a:schemeClr val="dk1"/>
                        </a:effectRef>
                        <a:fontRef idx="minor">
                          <a:schemeClr val="dk1"/>
                        </a:fontRef>
                      </wps:style>
                      <wps:txbx>
                        <w:txbxContent>
                          <w:p w:rsidR="00C4740B" w:rsidRPr="00494556" w:rsidRDefault="00C4740B" w:rsidP="00764823">
                            <w:pPr>
                              <w:spacing w:line="240" w:lineRule="auto"/>
                              <w:jc w:val="center"/>
                              <w:rPr>
                                <w:rFonts w:cs="Times New Roman"/>
                                <w:sz w:val="20"/>
                                <w:szCs w:val="20"/>
                              </w:rPr>
                            </w:pPr>
                            <w:r>
                              <w:rPr>
                                <w:rFonts w:cs="Times New Roman"/>
                                <w:sz w:val="20"/>
                                <w:szCs w:val="20"/>
                              </w:rPr>
                              <w:t xml:space="preserve">Application of GIS techniques for visualization of the empirical findings of the study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476EB4" id="_x0000_s1044" type="#_x0000_t202" style="position:absolute;left:0;text-align:left;margin-left:283.55pt;margin-top:485.2pt;width:95.25pt;height:69pt;z-index:2516766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" fillcolor="white [3201]" strokecolor="black [3213]" strokeweight="1pt">
                <v:textbox>
                  <w:txbxContent>
                    <w:p w:rsidR="00C4740B" w:rsidRPr="00494556" w:rsidRDefault="00C4740B" w:rsidP="00764823">
                      <w:pPr>
                        <w:spacing w:line="240" w:lineRule="auto"/>
                        <w:jc w:val="center"/>
                        <w:rPr>
                          <w:rFonts w:cs="Times New Roman"/>
                          <w:sz w:val="20"/>
                          <w:szCs w:val="20"/>
                        </w:rPr>
                      </w:pPr>
                      <w:r>
                        <w:rPr>
                          <w:rFonts w:cs="Times New Roman"/>
                          <w:sz w:val="20"/>
                          <w:szCs w:val="20"/>
                        </w:rPr>
                        <w:t xml:space="preserve">Application of GIS techniques for visualization of the empirical findings of the study  </w:t>
                      </w:r>
                    </w:p>
                  </w:txbxContent>
                </v:textbox>
                <w10:wrap type="through" anchorx="margin"/>
              </v:shape>
            </w:pict>
          </mc:Fallback>
        </mc:AlternateContent>
      </w:r>
      <w:r w:rsidR="00764823" w:rsidRPr="00764823">
        <w:rPr>
          <w:rFonts w:cs="Times New Roman"/>
          <w:noProof/>
          <w:szCs w:val="24"/>
          <w:lang w:val="en-GB" w:eastAsia="en-GB"/>
        </w:rPr>
        <mc:AlternateContent>
          <mc:Choice Requires="wps">
            <w:drawing>
              <wp:anchor distT="0" distB="0" distL="114300" distR="114300" simplePos="0" relativeHeight="251677696" behindDoc="0" locked="0" layoutInCell="1" allowOverlap="1" wp14:anchorId="4E319E6B" wp14:editId="60973D18">
                <wp:simplePos x="0" y="0"/>
                <wp:positionH relativeFrom="column">
                  <wp:posOffset>-66040</wp:posOffset>
                </wp:positionH>
                <wp:positionV relativeFrom="page">
                  <wp:posOffset>5770880</wp:posOffset>
                </wp:positionV>
                <wp:extent cx="5391150" cy="19050"/>
                <wp:effectExtent l="0" t="0" r="19050" b="19050"/>
                <wp:wrapThrough wrapText="bothSides">
                  <wp:wrapPolygon edited="0">
                    <wp:start x="5266" y="0"/>
                    <wp:lineTo x="0" y="0"/>
                    <wp:lineTo x="0" y="21600"/>
                    <wp:lineTo x="21600" y="21600"/>
                    <wp:lineTo x="21600" y="0"/>
                    <wp:lineTo x="5266" y="0"/>
                  </wp:wrapPolygon>
                </wp:wrapThrough>
                <wp:docPr id="27" name="Straight Connector 27"/>
                <wp:cNvGraphicFramePr/>
                <a:graphic xmlns:a="http://schemas.openxmlformats.org/drawingml/2006/main">
                  <a:graphicData uri="http://schemas.microsoft.com/office/word/2010/wordprocessingShape">
                    <wps:wsp>
                      <wps:cNvCnPr/>
                      <wps:spPr>
                        <a:xfrm flipV="1">
                          <a:off x="0" y="0"/>
                          <a:ext cx="5391150" cy="1905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FEA0A7" id="Straight Connector 27" o:spid="_x0000_s1026" style="position:absolute;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5.2pt,454.4pt" to="419.3pt,45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" strokecolor="black [3213]" strokeweight=".5pt">
                <v:stroke joinstyle="miter"/>
                <w10:wrap type="through" anchory="page"/>
              </v:line>
            </w:pict>
          </mc:Fallback>
        </mc:AlternateContent>
      </w:r>
      <w:r w:rsidR="00764823" w:rsidRPr="00764823">
        <w:rPr>
          <w:rFonts w:cs="Times New Roman"/>
          <w:noProof/>
          <w:szCs w:val="24"/>
          <w:lang w:val="en-GB" w:eastAsia="en-GB"/>
        </w:rPr>
        <mc:AlternateContent>
          <mc:Choice Requires="wps">
            <w:drawing>
              <wp:anchor distT="0" distB="0" distL="114300" distR="114300" simplePos="0" relativeHeight="251678720" behindDoc="0" locked="0" layoutInCell="1" allowOverlap="1" wp14:anchorId="250FB3D6" wp14:editId="6672E4B8">
                <wp:simplePos x="0" y="0"/>
                <wp:positionH relativeFrom="column">
                  <wp:posOffset>-95250</wp:posOffset>
                </wp:positionH>
                <wp:positionV relativeFrom="paragraph">
                  <wp:posOffset>4569460</wp:posOffset>
                </wp:positionV>
                <wp:extent cx="45085" cy="133350"/>
                <wp:effectExtent l="19050" t="0" r="31115" b="38100"/>
                <wp:wrapThrough wrapText="bothSides">
                  <wp:wrapPolygon edited="0">
                    <wp:start x="-9127" y="0"/>
                    <wp:lineTo x="-9127" y="24686"/>
                    <wp:lineTo x="27380" y="24686"/>
                    <wp:lineTo x="27380" y="0"/>
                    <wp:lineTo x="-9127" y="0"/>
                  </wp:wrapPolygon>
                </wp:wrapThrough>
                <wp:docPr id="30" name="Down Arrow 30"/>
                <wp:cNvGraphicFramePr/>
                <a:graphic xmlns:a="http://schemas.openxmlformats.org/drawingml/2006/main">
                  <a:graphicData uri="http://schemas.microsoft.com/office/word/2010/wordprocessingShape">
                    <wps:wsp>
                      <wps:cNvSpPr/>
                      <wps:spPr>
                        <a:xfrm flipH="1">
                          <a:off x="0" y="0"/>
                          <a:ext cx="45085" cy="133350"/>
                        </a:xfrm>
                        <a:prstGeom prst="downArrow">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3F88B788"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30" o:spid="_x0000_s1026" type="#_x0000_t67" style="position:absolute;margin-left:-7.5pt;margin-top:359.8pt;width:3.55pt;height:10.5pt;flip:x;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" adj="17949" fillcolor="white [3201]" strokecolor="black [3213]" strokeweight="1pt">
                <w10:wrap type="through"/>
              </v:shape>
            </w:pict>
          </mc:Fallback>
        </mc:AlternateContent>
      </w:r>
      <w:r w:rsidR="00764823" w:rsidRPr="00764823">
        <w:rPr>
          <w:rFonts w:cs="Times New Roman"/>
          <w:noProof/>
          <w:szCs w:val="24"/>
          <w:lang w:val="en-GB" w:eastAsia="en-GB"/>
        </w:rPr>
        <mc:AlternateContent>
          <mc:Choice Requires="wps">
            <w:drawing>
              <wp:anchor distT="45720" distB="45720" distL="114300" distR="114300" simplePos="0" relativeHeight="251679744" behindDoc="0" locked="0" layoutInCell="1" allowOverlap="1" wp14:anchorId="60BD47B9" wp14:editId="58757F17">
                <wp:simplePos x="0" y="0"/>
                <wp:positionH relativeFrom="margin">
                  <wp:posOffset>10160</wp:posOffset>
                </wp:positionH>
                <wp:positionV relativeFrom="page">
                  <wp:posOffset>5455285</wp:posOffset>
                </wp:positionV>
                <wp:extent cx="1638300" cy="257175"/>
                <wp:effectExtent l="0" t="0" r="0" b="9525"/>
                <wp:wrapThrough wrapText="bothSides">
                  <wp:wrapPolygon edited="0">
                    <wp:start x="0" y="0"/>
                    <wp:lineTo x="0" y="20800"/>
                    <wp:lineTo x="21349" y="20800"/>
                    <wp:lineTo x="21349" y="0"/>
                    <wp:lineTo x="0" y="0"/>
                  </wp:wrapPolygon>
                </wp:wrapThrough>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0" cy="257175"/>
                        </a:xfrm>
                        <a:prstGeom prst="rect">
                          <a:avLst/>
                        </a:prstGeom>
                        <a:solidFill>
                          <a:srgbClr val="FFFFFF"/>
                        </a:solidFill>
                        <a:ln w="9525">
                          <a:noFill/>
                          <a:miter lim="800000"/>
                          <a:headEnd/>
                          <a:tailEnd/>
                        </a:ln>
                      </wps:spPr>
                      <wps:txbx>
                        <w:txbxContent>
                          <w:p w:rsidR="00C4740B" w:rsidRPr="00CE568D" w:rsidRDefault="00C4740B" w:rsidP="00764823">
                            <w:pPr>
                              <w:jc w:val="center"/>
                              <w:rPr>
                                <w:rFonts w:cs="Times New Roman"/>
                                <w:sz w:val="20"/>
                                <w:szCs w:val="20"/>
                              </w:rPr>
                            </w:pPr>
                            <w:r w:rsidRPr="00CE568D">
                              <w:rPr>
                                <w:rFonts w:cs="Times New Roman"/>
                                <w:sz w:val="20"/>
                                <w:szCs w:val="20"/>
                              </w:rPr>
                              <w:t>Stage 01: Conceptualization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BD47B9" id="_x0000_s1045" type="#_x0000_t202" style="position:absolute;left:0;text-align:left;margin-left:.8pt;margin-top:429.55pt;width:129pt;height:20.25pt;z-index:251679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" stroked="f">
                <v:textbox>
                  <w:txbxContent>
                    <w:p w:rsidR="00C4740B" w:rsidRPr="00CE568D" w:rsidRDefault="00C4740B" w:rsidP="00764823">
                      <w:pPr>
                        <w:jc w:val="center"/>
                        <w:rPr>
                          <w:rFonts w:cs="Times New Roman"/>
                          <w:sz w:val="20"/>
                          <w:szCs w:val="20"/>
                        </w:rPr>
                      </w:pPr>
                      <w:r w:rsidRPr="00CE568D">
                        <w:rPr>
                          <w:rFonts w:cs="Times New Roman"/>
                          <w:sz w:val="20"/>
                          <w:szCs w:val="20"/>
                        </w:rPr>
                        <w:t>Stage 01: Conceptualization</w:t>
                      </w:r>
                    </w:p>
                  </w:txbxContent>
                </v:textbox>
                <w10:wrap type="through" anchorx="margin" anchory="page"/>
              </v:shape>
            </w:pict>
          </mc:Fallback>
        </mc:AlternateContent>
      </w:r>
      <w:r w:rsidR="00764823" w:rsidRPr="00764823">
        <w:rPr>
          <w:rFonts w:cs="Times New Roman"/>
          <w:noProof/>
          <w:szCs w:val="24"/>
          <w:lang w:val="en-GB" w:eastAsia="en-GB"/>
        </w:rPr>
        <mc:AlternateContent>
          <mc:Choice Requires="wps">
            <w:drawing>
              <wp:anchor distT="0" distB="0" distL="114300" distR="114300" simplePos="0" relativeHeight="251680768" behindDoc="0" locked="0" layoutInCell="1" allowOverlap="1" wp14:anchorId="2E996B00" wp14:editId="4EAAAA14">
                <wp:simplePos x="0" y="0"/>
                <wp:positionH relativeFrom="margin">
                  <wp:posOffset>-123190</wp:posOffset>
                </wp:positionH>
                <wp:positionV relativeFrom="page">
                  <wp:posOffset>5161915</wp:posOffset>
                </wp:positionV>
                <wp:extent cx="5495925" cy="3133725"/>
                <wp:effectExtent l="0" t="0" r="28575" b="28575"/>
                <wp:wrapThrough wrapText="bothSides">
                  <wp:wrapPolygon edited="0">
                    <wp:start x="0" y="0"/>
                    <wp:lineTo x="0" y="21666"/>
                    <wp:lineTo x="21637" y="21666"/>
                    <wp:lineTo x="21637" y="0"/>
                    <wp:lineTo x="0" y="0"/>
                  </wp:wrapPolygon>
                </wp:wrapThrough>
                <wp:docPr id="38" name="Rectangle 38"/>
                <wp:cNvGraphicFramePr/>
                <a:graphic xmlns:a="http://schemas.openxmlformats.org/drawingml/2006/main">
                  <a:graphicData uri="http://schemas.microsoft.com/office/word/2010/wordprocessingShape">
                    <wps:wsp>
                      <wps:cNvSpPr/>
                      <wps:spPr>
                        <a:xfrm>
                          <a:off x="0" y="0"/>
                          <a:ext cx="5495925" cy="3133725"/>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A6C877" id="Rectangle 38" o:spid="_x0000_s1026" style="position:absolute;margin-left:-9.7pt;margin-top:406.45pt;width:432.75pt;height:246.7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" filled="f" strokecolor="black [3213]" strokeweight="1pt">
                <w10:wrap type="through" anchorx="margin" anchory="page"/>
              </v:rect>
            </w:pict>
          </mc:Fallback>
        </mc:AlternateContent>
      </w:r>
      <w:r w:rsidR="00764823" w:rsidRPr="00764823">
        <w:rPr>
          <w:rFonts w:cs="Times New Roman"/>
          <w:noProof/>
          <w:szCs w:val="24"/>
          <w:lang w:val="en-GB" w:eastAsia="en-GB"/>
        </w:rPr>
        <mc:AlternateContent>
          <mc:Choice Requires="wps">
            <w:drawing>
              <wp:anchor distT="0" distB="0" distL="114300" distR="114300" simplePos="0" relativeHeight="251691008" behindDoc="0" locked="0" layoutInCell="1" allowOverlap="1" wp14:anchorId="29F7341E" wp14:editId="0B972B5C">
                <wp:simplePos x="0" y="0"/>
                <wp:positionH relativeFrom="column">
                  <wp:posOffset>2867660</wp:posOffset>
                </wp:positionH>
                <wp:positionV relativeFrom="page">
                  <wp:posOffset>5733415</wp:posOffset>
                </wp:positionV>
                <wp:extent cx="45085" cy="133350"/>
                <wp:effectExtent l="19050" t="0" r="31115" b="38100"/>
                <wp:wrapThrough wrapText="bothSides">
                  <wp:wrapPolygon edited="0">
                    <wp:start x="-9127" y="0"/>
                    <wp:lineTo x="-9127" y="24686"/>
                    <wp:lineTo x="27380" y="24686"/>
                    <wp:lineTo x="27380" y="0"/>
                    <wp:lineTo x="-9127" y="0"/>
                  </wp:wrapPolygon>
                </wp:wrapThrough>
                <wp:docPr id="33" name="Down Arrow 33"/>
                <wp:cNvGraphicFramePr/>
                <a:graphic xmlns:a="http://schemas.openxmlformats.org/drawingml/2006/main">
                  <a:graphicData uri="http://schemas.microsoft.com/office/word/2010/wordprocessingShape">
                    <wps:wsp>
                      <wps:cNvSpPr/>
                      <wps:spPr>
                        <a:xfrm flipH="1">
                          <a:off x="0" y="0"/>
                          <a:ext cx="45085" cy="133350"/>
                        </a:xfrm>
                        <a:prstGeom prst="downArrow">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C86DA14" id="Down Arrow 33" o:spid="_x0000_s1026" type="#_x0000_t67" style="position:absolute;margin-left:225.8pt;margin-top:451.45pt;width:3.55pt;height:10.5pt;flip:x;z-index:251691008;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" adj="17949" fillcolor="white [3201]" strokecolor="black [3213]" strokeweight="1pt">
                <w10:wrap type="through" anchory="page"/>
              </v:shape>
            </w:pict>
          </mc:Fallback>
        </mc:AlternateContent>
      </w:r>
      <w:r w:rsidR="00764823" w:rsidRPr="00764823">
        <w:rPr>
          <w:rFonts w:cs="Times New Roman"/>
          <w:noProof/>
          <w:szCs w:val="24"/>
          <w:lang w:val="en-GB" w:eastAsia="en-GB"/>
        </w:rPr>
        <mc:AlternateContent>
          <mc:Choice Requires="wps">
            <w:drawing>
              <wp:anchor distT="0" distB="0" distL="114300" distR="114300" simplePos="0" relativeHeight="251692032" behindDoc="0" locked="0" layoutInCell="1" allowOverlap="1" wp14:anchorId="41670E56" wp14:editId="299DCFA3">
                <wp:simplePos x="0" y="0"/>
                <wp:positionH relativeFrom="column">
                  <wp:posOffset>1667510</wp:posOffset>
                </wp:positionH>
                <wp:positionV relativeFrom="page">
                  <wp:posOffset>5752465</wp:posOffset>
                </wp:positionV>
                <wp:extent cx="45085" cy="133350"/>
                <wp:effectExtent l="19050" t="0" r="31115" b="38100"/>
                <wp:wrapThrough wrapText="bothSides">
                  <wp:wrapPolygon edited="0">
                    <wp:start x="-9127" y="0"/>
                    <wp:lineTo x="-9127" y="24686"/>
                    <wp:lineTo x="27380" y="24686"/>
                    <wp:lineTo x="27380" y="0"/>
                    <wp:lineTo x="-9127" y="0"/>
                  </wp:wrapPolygon>
                </wp:wrapThrough>
                <wp:docPr id="40" name="Down Arrow 40"/>
                <wp:cNvGraphicFramePr/>
                <a:graphic xmlns:a="http://schemas.openxmlformats.org/drawingml/2006/main">
                  <a:graphicData uri="http://schemas.microsoft.com/office/word/2010/wordprocessingShape">
                    <wps:wsp>
                      <wps:cNvSpPr/>
                      <wps:spPr>
                        <a:xfrm flipH="1">
                          <a:off x="0" y="0"/>
                          <a:ext cx="45085" cy="133350"/>
                        </a:xfrm>
                        <a:prstGeom prst="downArrow">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D73DC1C" id="Down Arrow 40" o:spid="_x0000_s1026" type="#_x0000_t67" style="position:absolute;margin-left:131.3pt;margin-top:452.95pt;width:3.55pt;height:10.5pt;flip:x;z-index:251692032;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" adj="17949" fillcolor="white [3201]" strokecolor="black [3213]" strokeweight="1pt">
                <w10:wrap type="through" anchory="page"/>
              </v:shape>
            </w:pict>
          </mc:Fallback>
        </mc:AlternateContent>
      </w:r>
      <w:r w:rsidR="00764823" w:rsidRPr="00764823">
        <w:rPr>
          <w:rFonts w:cs="Times New Roman"/>
          <w:noProof/>
          <w:szCs w:val="24"/>
          <w:lang w:val="en-GB" w:eastAsia="en-GB"/>
        </w:rPr>
        <mc:AlternateContent>
          <mc:Choice Requires="wps">
            <w:drawing>
              <wp:anchor distT="0" distB="0" distL="114300" distR="114300" simplePos="0" relativeHeight="251693056" behindDoc="0" locked="0" layoutInCell="1" allowOverlap="1" wp14:anchorId="26336440" wp14:editId="1C99C265">
                <wp:simplePos x="0" y="0"/>
                <wp:positionH relativeFrom="column">
                  <wp:posOffset>3543935</wp:posOffset>
                </wp:positionH>
                <wp:positionV relativeFrom="page">
                  <wp:posOffset>5733415</wp:posOffset>
                </wp:positionV>
                <wp:extent cx="45085" cy="133350"/>
                <wp:effectExtent l="19050" t="0" r="31115" b="38100"/>
                <wp:wrapThrough wrapText="bothSides">
                  <wp:wrapPolygon edited="0">
                    <wp:start x="-9127" y="0"/>
                    <wp:lineTo x="-9127" y="24686"/>
                    <wp:lineTo x="27380" y="24686"/>
                    <wp:lineTo x="27380" y="0"/>
                    <wp:lineTo x="-9127" y="0"/>
                  </wp:wrapPolygon>
                </wp:wrapThrough>
                <wp:docPr id="41" name="Down Arrow 41"/>
                <wp:cNvGraphicFramePr/>
                <a:graphic xmlns:a="http://schemas.openxmlformats.org/drawingml/2006/main">
                  <a:graphicData uri="http://schemas.microsoft.com/office/word/2010/wordprocessingShape">
                    <wps:wsp>
                      <wps:cNvSpPr/>
                      <wps:spPr>
                        <a:xfrm flipH="1">
                          <a:off x="0" y="0"/>
                          <a:ext cx="45085" cy="133350"/>
                        </a:xfrm>
                        <a:prstGeom prst="downArrow">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CF814D5" id="Down Arrow 41" o:spid="_x0000_s1026" type="#_x0000_t67" style="position:absolute;margin-left:279.05pt;margin-top:451.45pt;width:3.55pt;height:10.5pt;flip:x;z-index:251693056;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" adj="17949" fillcolor="white [3201]" strokecolor="black [3213]" strokeweight="1pt">
                <w10:wrap type="through" anchory="page"/>
              </v:shape>
            </w:pict>
          </mc:Fallback>
        </mc:AlternateContent>
      </w:r>
      <w:r w:rsidR="00764823" w:rsidRPr="00764823">
        <w:rPr>
          <w:rFonts w:cs="Times New Roman"/>
          <w:noProof/>
          <w:szCs w:val="24"/>
          <w:lang w:val="en-GB" w:eastAsia="en-GB"/>
        </w:rPr>
        <mc:AlternateContent>
          <mc:Choice Requires="wps">
            <w:drawing>
              <wp:anchor distT="0" distB="0" distL="114300" distR="114300" simplePos="0" relativeHeight="251694080" behindDoc="0" locked="0" layoutInCell="1" allowOverlap="1" wp14:anchorId="51C359AF" wp14:editId="4E5462DE">
                <wp:simplePos x="0" y="0"/>
                <wp:positionH relativeFrom="margin">
                  <wp:posOffset>5278755</wp:posOffset>
                </wp:positionH>
                <wp:positionV relativeFrom="paragraph">
                  <wp:posOffset>4546600</wp:posOffset>
                </wp:positionV>
                <wp:extent cx="45085" cy="133350"/>
                <wp:effectExtent l="19050" t="0" r="31115" b="38100"/>
                <wp:wrapThrough wrapText="bothSides">
                  <wp:wrapPolygon edited="0">
                    <wp:start x="-9127" y="0"/>
                    <wp:lineTo x="-9127" y="24686"/>
                    <wp:lineTo x="27380" y="24686"/>
                    <wp:lineTo x="27380" y="0"/>
                    <wp:lineTo x="-9127" y="0"/>
                  </wp:wrapPolygon>
                </wp:wrapThrough>
                <wp:docPr id="47" name="Down Arrow 47"/>
                <wp:cNvGraphicFramePr/>
                <a:graphic xmlns:a="http://schemas.openxmlformats.org/drawingml/2006/main">
                  <a:graphicData uri="http://schemas.microsoft.com/office/word/2010/wordprocessingShape">
                    <wps:wsp>
                      <wps:cNvSpPr/>
                      <wps:spPr>
                        <a:xfrm flipH="1">
                          <a:off x="0" y="0"/>
                          <a:ext cx="45085" cy="133350"/>
                        </a:xfrm>
                        <a:prstGeom prst="downArrow">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BF402C6" id="Down Arrow 47" o:spid="_x0000_s1026" type="#_x0000_t67" style="position:absolute;margin-left:415.65pt;margin-top:358pt;width:3.55pt;height:10.5pt;flip:x;z-index:25169408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" adj="17949" fillcolor="white [3201]" strokecolor="black [3213]" strokeweight="1pt">
                <w10:wrap type="through" anchorx="margin"/>
              </v:shape>
            </w:pict>
          </mc:Fallback>
        </mc:AlternateContent>
      </w:r>
      <w:r w:rsidR="00567D28">
        <w:rPr>
          <w:rFonts w:cs="Times New Roman"/>
          <w:szCs w:val="24"/>
        </w:rPr>
        <w:t>It has been reported by BBS (2011) that Khulna district</w:t>
      </w:r>
      <w:r w:rsidR="006871C8">
        <w:rPr>
          <w:rFonts w:cs="Times New Roman"/>
          <w:szCs w:val="24"/>
        </w:rPr>
        <w:t xml:space="preserve"> is g</w:t>
      </w:r>
      <w:r w:rsidR="007B051C">
        <w:rPr>
          <w:rFonts w:cs="Times New Roman"/>
          <w:szCs w:val="24"/>
        </w:rPr>
        <w:t>oing through greater urbanization process (33.54%) than that of Satkhira (9.95%) and Bagerhat (13.23%)</w:t>
      </w:r>
      <w:r w:rsidR="00AD439B">
        <w:rPr>
          <w:rFonts w:cs="Times New Roman"/>
          <w:szCs w:val="24"/>
        </w:rPr>
        <w:t xml:space="preserve"> but yet, 58.6%</w:t>
      </w:r>
      <w:r w:rsidR="007939D2">
        <w:rPr>
          <w:rFonts w:cs="Times New Roman"/>
          <w:szCs w:val="24"/>
        </w:rPr>
        <w:t xml:space="preserve"> of housing in Khulna district is characterized by kutcha and jhupri structure and 3.6% of the household of the area has no acce</w:t>
      </w:r>
      <w:r w:rsidR="00E237C7">
        <w:rPr>
          <w:rFonts w:cs="Times New Roman"/>
          <w:szCs w:val="24"/>
        </w:rPr>
        <w:t>ss to toilet facilities. In Bagerhat district, 83.1% housing is characterized by kutcha and jhupi structure and 1.8% households has no access to toilet facilities whereas 57.2% housing in Satkhira district is of kutcha and jhupri structure and 3.7% households of the areas has no access to toilet facilities</w:t>
      </w:r>
      <w:r w:rsidR="00DE2D73">
        <w:rPr>
          <w:rFonts w:cs="Times New Roman"/>
          <w:szCs w:val="24"/>
        </w:rPr>
        <w:t xml:space="preserve"> (BBS, 2011)</w:t>
      </w:r>
      <w:r w:rsidR="000B495A">
        <w:rPr>
          <w:rFonts w:cs="Times New Roman"/>
          <w:szCs w:val="24"/>
        </w:rPr>
        <w:t>. The contrast</w:t>
      </w:r>
      <w:r w:rsidR="0022490D">
        <w:rPr>
          <w:rFonts w:cs="Times New Roman"/>
          <w:szCs w:val="24"/>
        </w:rPr>
        <w:t>s</w:t>
      </w:r>
      <w:r w:rsidR="000B495A">
        <w:rPr>
          <w:rFonts w:cs="Times New Roman"/>
          <w:szCs w:val="24"/>
        </w:rPr>
        <w:t xml:space="preserve"> among the three districts from different socio-economic, demographic and infrastructural issues shows that the areas are characterized with some extent of homogenous socio-economy</w:t>
      </w:r>
      <w:r w:rsidR="00602476">
        <w:rPr>
          <w:rFonts w:cs="Times New Roman"/>
          <w:szCs w:val="24"/>
        </w:rPr>
        <w:t xml:space="preserve"> but yet disparity is likely to be prominent</w:t>
      </w:r>
      <w:r w:rsidR="00A87A99">
        <w:rPr>
          <w:rFonts w:cs="Times New Roman"/>
          <w:szCs w:val="24"/>
        </w:rPr>
        <w:t>.</w:t>
      </w:r>
    </w:p>
    <w:p w:rsidR="00764823" w:rsidRPr="00764823" w:rsidRDefault="00764823" w:rsidP="006B0A1E">
      <w:pPr>
        <w:pStyle w:val="Heading4"/>
        <w:spacing w:line="240" w:lineRule="auto"/>
        <w:jc w:val="center"/>
        <w:rPr>
          <w:rFonts w:ascii="Times New Roman" w:hAnsi="Times New Roman" w:cs="Times New Roman"/>
          <w:i w:val="0"/>
          <w:color w:val="auto"/>
          <w:sz w:val="22"/>
        </w:rPr>
      </w:pPr>
      <w:bookmarkStart w:id="3" w:name="_Figure_2:_Schematic"/>
      <w:bookmarkEnd w:id="3"/>
      <w:r>
        <w:rPr>
          <w:rFonts w:ascii="Times New Roman" w:hAnsi="Times New Roman" w:cs="Times New Roman"/>
          <w:i w:val="0"/>
          <w:color w:val="auto"/>
          <w:sz w:val="22"/>
        </w:rPr>
        <w:t>Figure 2: Schematic diagram depicting the steps followed in this research</w:t>
      </w:r>
    </w:p>
    <w:p w:rsidR="00764823" w:rsidRDefault="00764823" w:rsidP="00764823">
      <w:pPr>
        <w:spacing w:line="240" w:lineRule="auto"/>
        <w:jc w:val="center"/>
        <w:rPr>
          <w:rFonts w:cs="Times New Roman"/>
          <w:szCs w:val="24"/>
        </w:rPr>
      </w:pPr>
    </w:p>
    <w:p w:rsidR="00764823" w:rsidRDefault="00507023" w:rsidP="00507023">
      <w:pPr>
        <w:pStyle w:val="Heading2"/>
        <w:numPr>
          <w:ilvl w:val="1"/>
          <w:numId w:val="8"/>
        </w:numPr>
        <w:rPr>
          <w:rFonts w:ascii="Times New Roman" w:hAnsi="Times New Roman" w:cs="Times New Roman"/>
          <w:color w:val="auto"/>
          <w:sz w:val="24"/>
          <w:szCs w:val="24"/>
        </w:rPr>
      </w:pPr>
      <w:r>
        <w:rPr>
          <w:rFonts w:ascii="Times New Roman" w:hAnsi="Times New Roman" w:cs="Times New Roman"/>
          <w:color w:val="auto"/>
          <w:sz w:val="24"/>
          <w:szCs w:val="24"/>
        </w:rPr>
        <w:lastRenderedPageBreak/>
        <w:t>Data Collection and Analysis</w:t>
      </w:r>
    </w:p>
    <w:p w:rsidR="00507023" w:rsidRDefault="00507023" w:rsidP="00507023">
      <w:r>
        <w:t>A set of systematic and scientific methods have been adopted to derive and analyze data in performing</w:t>
      </w:r>
      <w:r w:rsidR="0081248C">
        <w:t xml:space="preserve"> this research (see </w:t>
      </w:r>
      <w:hyperlink w:anchor="_Figure_2:_Schematic" w:history="1">
        <w:r w:rsidR="0081248C" w:rsidRPr="0081248C">
          <w:rPr>
            <w:rStyle w:val="Hyperlink"/>
            <w:color w:val="auto"/>
            <w:u w:val="none"/>
          </w:rPr>
          <w:t>Figure 2</w:t>
        </w:r>
      </w:hyperlink>
      <w:r w:rsidR="0081248C">
        <w:t>)</w:t>
      </w:r>
      <w:r w:rsidR="007F3481">
        <w:t>.</w:t>
      </w:r>
    </w:p>
    <w:p w:rsidR="007F3481" w:rsidRDefault="00331A9E" w:rsidP="00331A9E">
      <w:pPr>
        <w:pStyle w:val="Heading3"/>
        <w:numPr>
          <w:ilvl w:val="2"/>
          <w:numId w:val="8"/>
        </w:numPr>
        <w:rPr>
          <w:rFonts w:ascii="Times New Roman" w:hAnsi="Times New Roman" w:cs="Times New Roman"/>
          <w:color w:val="auto"/>
        </w:rPr>
      </w:pPr>
      <w:r>
        <w:rPr>
          <w:rFonts w:ascii="Times New Roman" w:hAnsi="Times New Roman" w:cs="Times New Roman"/>
          <w:color w:val="auto"/>
        </w:rPr>
        <w:t>Research Method and Analysis Unit</w:t>
      </w:r>
    </w:p>
    <w:p w:rsidR="00413699" w:rsidRDefault="00331A9E" w:rsidP="00331A9E">
      <w:r>
        <w:t>We have adopted “Union (i.e., the smallest strata of local government of Bangladesh)” as the analysis unit for chara</w:t>
      </w:r>
      <w:r w:rsidR="003C525B">
        <w:t xml:space="preserve">cterizing rural areas </w:t>
      </w:r>
      <w:r>
        <w:t>within the case study areas of Khulna division including Khulna, Satkhira and Bagerhat districts.</w:t>
      </w:r>
      <w:r w:rsidR="00747386">
        <w:t xml:space="preserve"> No</w:t>
      </w:r>
      <w:r w:rsidR="0072656D">
        <w:t>te that, the spatial</w:t>
      </w:r>
      <w:r w:rsidR="005F61E7">
        <w:t xml:space="preserve"> data of administrative boundaries</w:t>
      </w:r>
      <w:r w:rsidR="0072656D">
        <w:t xml:space="preserve"> of Ba</w:t>
      </w:r>
      <w:r w:rsidR="00FA0F61">
        <w:t>ngladesh provided by Local G</w:t>
      </w:r>
      <w:r w:rsidR="008E1A1D">
        <w:t xml:space="preserve">overnment </w:t>
      </w:r>
      <w:r w:rsidR="00FA0F61">
        <w:t>Engineering Department (LGED)</w:t>
      </w:r>
      <w:r w:rsidR="00F9373B">
        <w:t xml:space="preserve"> includes ward</w:t>
      </w:r>
      <w:r w:rsidR="005F61E7">
        <w:t>s and municipalities along with Unions</w:t>
      </w:r>
      <w:r w:rsidR="00D2667E">
        <w:t xml:space="preserve"> under the lowest order of administrative boundary (administrative boundary level-4).</w:t>
      </w:r>
    </w:p>
    <w:p w:rsidR="00462E19" w:rsidRDefault="00331A9E" w:rsidP="00331A9E">
      <w:r>
        <w:t>To per</w:t>
      </w:r>
      <w:r w:rsidR="00863689">
        <w:t xml:space="preserve">form the study, </w:t>
      </w:r>
      <w:r w:rsidR="00413699">
        <w:t xml:space="preserve">we have utilized our enhanced </w:t>
      </w:r>
      <w:r w:rsidR="00F458FC">
        <w:t xml:space="preserve">methodology of Clokes’ </w:t>
      </w:r>
      <w:r w:rsidR="00C02A2B">
        <w:t>rurality index</w:t>
      </w:r>
      <w:r w:rsidR="00413699">
        <w:t xml:space="preserve">. We have </w:t>
      </w:r>
      <w:r w:rsidR="00F458FC">
        <w:t xml:space="preserve">enhanced the methodology </w:t>
      </w:r>
      <w:r w:rsidR="00413699">
        <w:t>slightly in terms of the number of indicators adopted, n-factor model (where, n=6) of PCA instead of Clokes’ one-factor model and ease of interpretation of final outputs. The main reason for using the rurality index is that the methodology has been used widely by a large body of researchers over the years and thence, it is a highly reliable method for invest</w:t>
      </w:r>
      <w:r w:rsidR="002035C9">
        <w:t>igating rural areas and measuring rurality</w:t>
      </w:r>
      <w:r w:rsidR="00413699">
        <w:t>. Besides, selectable indicators and respective data availability have also been considered in selection of the approach.</w:t>
      </w:r>
    </w:p>
    <w:p w:rsidR="006E0323" w:rsidRPr="006E0323" w:rsidRDefault="00076458" w:rsidP="00462E19">
      <w:pPr>
        <w:pStyle w:val="Heading3"/>
        <w:numPr>
          <w:ilvl w:val="2"/>
          <w:numId w:val="8"/>
        </w:numPr>
      </w:pPr>
      <w:r>
        <w:rPr>
          <w:rFonts w:ascii="Times New Roman" w:hAnsi="Times New Roman" w:cs="Times New Roman"/>
          <w:color w:val="auto"/>
        </w:rPr>
        <w:t>Research</w:t>
      </w:r>
      <w:r w:rsidR="006E0323">
        <w:rPr>
          <w:rFonts w:ascii="Times New Roman" w:hAnsi="Times New Roman" w:cs="Times New Roman"/>
          <w:color w:val="auto"/>
        </w:rPr>
        <w:t xml:space="preserve"> Data</w:t>
      </w:r>
    </w:p>
    <w:p w:rsidR="00076458" w:rsidRDefault="00155BFF" w:rsidP="006E0323">
      <w:r>
        <w:t>It is worthy of mentioning that this research has been performed based</w:t>
      </w:r>
      <w:r w:rsidR="003E2DA2">
        <w:t xml:space="preserve"> on secondary data. </w:t>
      </w:r>
      <w:r w:rsidR="004E3A4C">
        <w:t>Th</w:t>
      </w:r>
      <w:r w:rsidR="00693FF1">
        <w:t xml:space="preserve">e reason behind </w:t>
      </w:r>
      <w:r w:rsidR="004E3A4C">
        <w:t>using secondary data instead of primary data is that this study is intended to</w:t>
      </w:r>
      <w:r w:rsidR="00A52923">
        <w:t xml:space="preserve"> approximate the notion that different level of functionality of rural </w:t>
      </w:r>
      <w:r w:rsidR="00A52923">
        <w:lastRenderedPageBreak/>
        <w:t>characteristics shape</w:t>
      </w:r>
      <w:r w:rsidR="00151411">
        <w:t>s</w:t>
      </w:r>
      <w:r w:rsidR="00A52923">
        <w:t xml:space="preserve"> spatial units differently and thus </w:t>
      </w:r>
      <w:r w:rsidR="000D1908">
        <w:t xml:space="preserve">characterization of rural areas </w:t>
      </w:r>
      <w:r w:rsidR="00A52923">
        <w:t>b</w:t>
      </w:r>
      <w:r w:rsidR="00814DB7">
        <w:t>ased on the degree of rurality</w:t>
      </w:r>
      <w:r w:rsidR="000D1908">
        <w:t xml:space="preserve"> is possible and necessary</w:t>
      </w:r>
      <w:r w:rsidR="00814DB7">
        <w:t>.</w:t>
      </w:r>
      <w:r w:rsidR="0041113A">
        <w:t xml:space="preserve"> Critical findings from this initial research can fac</w:t>
      </w:r>
      <w:r w:rsidR="00D310B8">
        <w:t>ilitate further comprehensive and meticulous research on rurality and rural-urban divide based on primary data to establish the operational measure of rurality with higher reliability</w:t>
      </w:r>
      <w:r w:rsidR="0095198B">
        <w:t xml:space="preserve"> and accuracy in B</w:t>
      </w:r>
      <w:r w:rsidR="000F0938">
        <w:t>angladesh.</w:t>
      </w:r>
    </w:p>
    <w:p w:rsidR="00076458" w:rsidRDefault="00076458" w:rsidP="006E0323">
      <w:r>
        <w:t xml:space="preserve">The data used in the research have been attained from diverse </w:t>
      </w:r>
      <w:r w:rsidR="00027ADC">
        <w:t xml:space="preserve">and </w:t>
      </w:r>
      <w:r>
        <w:t xml:space="preserve">reliable sources including Bangladesh Bureau of Statistics (BBS) and Local Government Engineering Department (LGED) etc. The statistical data relating to the twenty indicators </w:t>
      </w:r>
      <w:r w:rsidR="0022538F">
        <w:t>adopted in this study</w:t>
      </w:r>
      <w:r>
        <w:t xml:space="preserve"> have been derived from Bangladesh population and housing census 2011 (community reports), published by</w:t>
      </w:r>
      <w:r w:rsidR="009C3E79">
        <w:t xml:space="preserve"> BBS. Note</w:t>
      </w:r>
      <w:r>
        <w:t xml:space="preserve"> that the raw data from BBS have been refined and processed utilizing some data manipulation and processing techniques based on MS Excel and IBM SPSS applications. Later than, data sets for PCA analysis, rurality indexing and GIS-based data visualization have been finalized.</w:t>
      </w:r>
    </w:p>
    <w:p w:rsidR="006545CF" w:rsidRDefault="006545CF" w:rsidP="006545CF">
      <w:r>
        <w:t>We have collected geospatial database of Bangladesh administrative boundaries from the LGED and have manipulated according to our need. The database has been used for mapping the study area and final outcomes of the analysis efficiently utilizing GIS-techniques. Besides, we have utilized relevant peer reviewed international journal articles, reports, conference papers, unpublished articles and government-published documents for better conceptualization.</w:t>
      </w:r>
    </w:p>
    <w:p w:rsidR="00EA64CD" w:rsidRDefault="00D1061C" w:rsidP="00D1061C">
      <w:pPr>
        <w:pStyle w:val="Heading3"/>
        <w:numPr>
          <w:ilvl w:val="2"/>
          <w:numId w:val="8"/>
        </w:numPr>
        <w:rPr>
          <w:rFonts w:ascii="Times New Roman" w:hAnsi="Times New Roman" w:cs="Times New Roman"/>
          <w:color w:val="auto"/>
        </w:rPr>
      </w:pPr>
      <w:r>
        <w:rPr>
          <w:rFonts w:ascii="Times New Roman" w:hAnsi="Times New Roman" w:cs="Times New Roman"/>
          <w:color w:val="auto"/>
        </w:rPr>
        <w:t>Indicator</w:t>
      </w:r>
      <w:r w:rsidR="003760D1">
        <w:rPr>
          <w:rFonts w:ascii="Times New Roman" w:hAnsi="Times New Roman" w:cs="Times New Roman"/>
          <w:color w:val="auto"/>
        </w:rPr>
        <w:t>s</w:t>
      </w:r>
      <w:r>
        <w:rPr>
          <w:rFonts w:ascii="Times New Roman" w:hAnsi="Times New Roman" w:cs="Times New Roman"/>
          <w:color w:val="auto"/>
        </w:rPr>
        <w:t xml:space="preserve"> Selection</w:t>
      </w:r>
    </w:p>
    <w:p w:rsidR="000C1699" w:rsidRDefault="003D091D" w:rsidP="003D091D">
      <w:r>
        <w:t xml:space="preserve">We have adopted twenty indicators for characterizing rural areas within the case study areas in this research based on extensive literature review and expert views. </w:t>
      </w:r>
      <w:hyperlink w:anchor="_Table_3:_Dimensions" w:history="1">
        <w:r w:rsidRPr="009E054F">
          <w:rPr>
            <w:rStyle w:val="Hyperlink"/>
            <w:color w:val="auto"/>
            <w:u w:val="none"/>
          </w:rPr>
          <w:t>Table</w:t>
        </w:r>
        <w:r w:rsidR="00F059D3" w:rsidRPr="009E054F">
          <w:rPr>
            <w:rStyle w:val="Hyperlink"/>
            <w:color w:val="auto"/>
            <w:u w:val="none"/>
          </w:rPr>
          <w:t xml:space="preserve"> 3</w:t>
        </w:r>
      </w:hyperlink>
      <w:r w:rsidRPr="009E054F">
        <w:t xml:space="preserve"> </w:t>
      </w:r>
      <w:r>
        <w:t xml:space="preserve">shows the indicators and their functional relationships with rurality. It is important to </w:t>
      </w:r>
      <w:r>
        <w:lastRenderedPageBreak/>
        <w:t>understand that selection of indicators in rurality indexing approach is itself a subjective approach and thence, accuracy and validity of the selection is always subjected to be questioned. However, expecting an objective method for selection of indicators for rural-urban contrast when there is no absolute concept of rurality, will be quixotic.</w:t>
      </w:r>
    </w:p>
    <w:p w:rsidR="000C1699" w:rsidRDefault="000C1699" w:rsidP="000C1699">
      <w:pPr>
        <w:pStyle w:val="Heading4"/>
        <w:spacing w:line="240" w:lineRule="auto"/>
        <w:jc w:val="center"/>
        <w:rPr>
          <w:rFonts w:ascii="Times New Roman" w:hAnsi="Times New Roman" w:cs="Times New Roman"/>
          <w:i w:val="0"/>
          <w:color w:val="auto"/>
        </w:rPr>
      </w:pPr>
      <w:bookmarkStart w:id="4" w:name="_Table_3:_Dimensions"/>
      <w:bookmarkEnd w:id="4"/>
      <w:r>
        <w:rPr>
          <w:rFonts w:ascii="Times New Roman" w:hAnsi="Times New Roman" w:cs="Times New Roman"/>
          <w:i w:val="0"/>
          <w:color w:val="auto"/>
        </w:rPr>
        <w:t>Table 3: Dimensions and indicators to charac</w:t>
      </w:r>
      <w:r w:rsidR="00E248C8">
        <w:rPr>
          <w:rFonts w:ascii="Times New Roman" w:hAnsi="Times New Roman" w:cs="Times New Roman"/>
          <w:i w:val="0"/>
          <w:color w:val="auto"/>
        </w:rPr>
        <w:t>terize rural areas</w:t>
      </w:r>
    </w:p>
    <w:tbl>
      <w:tblPr>
        <w:tblStyle w:val="TableGrid"/>
        <w:tblpPr w:leftFromText="180" w:rightFromText="180" w:vertAnchor="text" w:horzAnchor="margin" w:tblpXSpec="center" w:tblpY="194"/>
        <w:tblW w:w="8148" w:type="dxa"/>
        <w:tblLook w:val="04A0" w:firstRow="1" w:lastRow="0" w:firstColumn="1" w:lastColumn="0" w:noHBand="0" w:noVBand="1"/>
      </w:tblPr>
      <w:tblGrid>
        <w:gridCol w:w="1414"/>
        <w:gridCol w:w="3191"/>
        <w:gridCol w:w="1231"/>
        <w:gridCol w:w="2312"/>
      </w:tblGrid>
      <w:tr w:rsidR="00F059D3" w:rsidTr="006A15EA">
        <w:trPr>
          <w:trHeight w:val="519"/>
        </w:trPr>
        <w:tc>
          <w:tcPr>
            <w:tcW w:w="1414" w:type="dxa"/>
          </w:tcPr>
          <w:p w:rsidR="00F059D3" w:rsidRPr="00EF56B9" w:rsidRDefault="00F059D3" w:rsidP="00FB14AC">
            <w:pPr>
              <w:jc w:val="center"/>
              <w:rPr>
                <w:rFonts w:ascii="Times New Roman" w:hAnsi="Times New Roman" w:cs="Times New Roman"/>
                <w:b/>
              </w:rPr>
            </w:pPr>
            <w:r w:rsidRPr="00EF56B9">
              <w:rPr>
                <w:rFonts w:ascii="Times New Roman" w:hAnsi="Times New Roman" w:cs="Times New Roman"/>
                <w:b/>
              </w:rPr>
              <w:t>Dimension</w:t>
            </w:r>
          </w:p>
        </w:tc>
        <w:tc>
          <w:tcPr>
            <w:tcW w:w="3191" w:type="dxa"/>
          </w:tcPr>
          <w:p w:rsidR="00F059D3" w:rsidRPr="00EF56B9" w:rsidRDefault="00F059D3" w:rsidP="00FB14AC">
            <w:pPr>
              <w:jc w:val="center"/>
              <w:rPr>
                <w:rFonts w:ascii="Times New Roman" w:hAnsi="Times New Roman" w:cs="Times New Roman"/>
                <w:b/>
              </w:rPr>
            </w:pPr>
            <w:r w:rsidRPr="00EF56B9">
              <w:rPr>
                <w:rFonts w:ascii="Times New Roman" w:hAnsi="Times New Roman" w:cs="Times New Roman"/>
                <w:b/>
              </w:rPr>
              <w:t>Indicator</w:t>
            </w:r>
          </w:p>
        </w:tc>
        <w:tc>
          <w:tcPr>
            <w:tcW w:w="1231" w:type="dxa"/>
          </w:tcPr>
          <w:p w:rsidR="00F059D3" w:rsidRPr="00EF56B9" w:rsidRDefault="00F059D3" w:rsidP="00FB14AC">
            <w:pPr>
              <w:jc w:val="center"/>
              <w:rPr>
                <w:rFonts w:ascii="Times New Roman" w:hAnsi="Times New Roman" w:cs="Times New Roman"/>
                <w:b/>
              </w:rPr>
            </w:pPr>
            <w:r w:rsidRPr="00EF56B9">
              <w:rPr>
                <w:rFonts w:ascii="Times New Roman" w:hAnsi="Times New Roman" w:cs="Times New Roman"/>
                <w:b/>
              </w:rPr>
              <w:t>Functional Relation to Rurality</w:t>
            </w:r>
          </w:p>
        </w:tc>
        <w:tc>
          <w:tcPr>
            <w:tcW w:w="2312" w:type="dxa"/>
          </w:tcPr>
          <w:p w:rsidR="00F059D3" w:rsidRPr="00EF56B9" w:rsidRDefault="00F059D3" w:rsidP="00FB14AC">
            <w:pPr>
              <w:jc w:val="center"/>
              <w:rPr>
                <w:rFonts w:ascii="Times New Roman" w:hAnsi="Times New Roman" w:cs="Times New Roman"/>
                <w:b/>
              </w:rPr>
            </w:pPr>
            <w:r w:rsidRPr="00EF56B9">
              <w:rPr>
                <w:rFonts w:ascii="Times New Roman" w:hAnsi="Times New Roman" w:cs="Times New Roman"/>
                <w:b/>
              </w:rPr>
              <w:t>Explanation</w:t>
            </w:r>
          </w:p>
        </w:tc>
      </w:tr>
      <w:tr w:rsidR="00F059D3" w:rsidTr="006A15EA">
        <w:trPr>
          <w:trHeight w:val="251"/>
        </w:trPr>
        <w:tc>
          <w:tcPr>
            <w:tcW w:w="1414" w:type="dxa"/>
            <w:vMerge w:val="restart"/>
          </w:tcPr>
          <w:p w:rsidR="00F059D3" w:rsidRPr="00EF56B9" w:rsidRDefault="00F059D3" w:rsidP="00FB14AC">
            <w:pPr>
              <w:jc w:val="center"/>
              <w:rPr>
                <w:rFonts w:ascii="Times New Roman" w:hAnsi="Times New Roman" w:cs="Times New Roman"/>
              </w:rPr>
            </w:pPr>
          </w:p>
          <w:p w:rsidR="00F059D3" w:rsidRPr="00EF56B9" w:rsidRDefault="00F059D3" w:rsidP="00FB14AC">
            <w:pPr>
              <w:jc w:val="center"/>
              <w:rPr>
                <w:rFonts w:ascii="Times New Roman" w:hAnsi="Times New Roman" w:cs="Times New Roman"/>
              </w:rPr>
            </w:pPr>
          </w:p>
          <w:p w:rsidR="00F059D3" w:rsidRPr="00EF56B9" w:rsidRDefault="00F059D3" w:rsidP="00FB14AC">
            <w:pPr>
              <w:jc w:val="center"/>
              <w:rPr>
                <w:rFonts w:ascii="Times New Roman" w:hAnsi="Times New Roman" w:cs="Times New Roman"/>
              </w:rPr>
            </w:pPr>
            <w:r w:rsidRPr="00EF56B9">
              <w:rPr>
                <w:rFonts w:ascii="Times New Roman" w:hAnsi="Times New Roman" w:cs="Times New Roman"/>
              </w:rPr>
              <w:t>Demographic profile</w:t>
            </w:r>
          </w:p>
        </w:tc>
        <w:tc>
          <w:tcPr>
            <w:tcW w:w="3191" w:type="dxa"/>
          </w:tcPr>
          <w:p w:rsidR="00F059D3" w:rsidRPr="00C005F2" w:rsidRDefault="00F059D3" w:rsidP="00FB14AC">
            <w:pPr>
              <w:jc w:val="center"/>
              <w:rPr>
                <w:rFonts w:ascii="Times New Roman" w:hAnsi="Times New Roman" w:cs="Times New Roman"/>
              </w:rPr>
            </w:pPr>
            <w:r w:rsidRPr="00C005F2">
              <w:rPr>
                <w:rFonts w:ascii="Times New Roman" w:hAnsi="Times New Roman" w:cs="Times New Roman"/>
              </w:rPr>
              <w:t xml:space="preserve">Population density </w:t>
            </w:r>
            <w:r w:rsidRPr="00C005F2">
              <w:rPr>
                <w:rFonts w:ascii="Times New Roman" w:hAnsi="Times New Roman" w:cs="Times New Roman"/>
                <w:color w:val="595959" w:themeColor="text1" w:themeTint="A6"/>
                <w:sz w:val="20"/>
                <w:szCs w:val="20"/>
              </w:rPr>
              <w:t>(Beynon et al. 2016; Waldorf, 2006; Isserman, 2005;</w:t>
            </w:r>
            <w:r w:rsidRPr="00C005F2">
              <w:rPr>
                <w:rFonts w:ascii="Times New Roman" w:hAnsi="Times New Roman" w:cs="Times New Roman"/>
                <w:bCs/>
                <w:color w:val="595959" w:themeColor="text1" w:themeTint="A6"/>
                <w:spacing w:val="-5"/>
                <w:sz w:val="20"/>
                <w:szCs w:val="20"/>
                <w:shd w:val="clear" w:color="auto" w:fill="FFFFFF"/>
              </w:rPr>
              <w:t xml:space="preserve"> Ocaña-Riola</w:t>
            </w:r>
            <w:r w:rsidRPr="00C005F2">
              <w:rPr>
                <w:rFonts w:ascii="Times New Roman" w:hAnsi="Times New Roman" w:cs="Times New Roman"/>
                <w:color w:val="595959" w:themeColor="text1" w:themeTint="A6"/>
                <w:sz w:val="20"/>
                <w:szCs w:val="20"/>
              </w:rPr>
              <w:t xml:space="preserve"> and </w:t>
            </w:r>
            <w:r w:rsidRPr="00C005F2">
              <w:rPr>
                <w:rFonts w:ascii="Times New Roman" w:hAnsi="Times New Roman" w:cs="Times New Roman"/>
                <w:bCs/>
                <w:color w:val="595959" w:themeColor="text1" w:themeTint="A6"/>
                <w:spacing w:val="-5"/>
                <w:sz w:val="20"/>
                <w:szCs w:val="20"/>
                <w:shd w:val="clear" w:color="auto" w:fill="FFFFFF"/>
              </w:rPr>
              <w:t>Sánchez-Cantalejo, 2005;</w:t>
            </w:r>
            <w:r w:rsidRPr="00C005F2">
              <w:rPr>
                <w:rFonts w:ascii="Times New Roman" w:hAnsi="Times New Roman" w:cs="Times New Roman"/>
                <w:color w:val="595959" w:themeColor="text1" w:themeTint="A6"/>
                <w:sz w:val="20"/>
                <w:szCs w:val="20"/>
              </w:rPr>
              <w:t xml:space="preserve"> Harrington and O’Donoghue, 1998; </w:t>
            </w:r>
            <w:r>
              <w:rPr>
                <w:rFonts w:ascii="Times New Roman" w:hAnsi="Times New Roman" w:cs="Times New Roman"/>
                <w:color w:val="595959" w:themeColor="text1" w:themeTint="A6"/>
                <w:sz w:val="20"/>
                <w:szCs w:val="20"/>
              </w:rPr>
              <w:t xml:space="preserve">Clevland, 1995; </w:t>
            </w:r>
            <w:r w:rsidRPr="00C005F2">
              <w:rPr>
                <w:rFonts w:ascii="Times New Roman" w:hAnsi="Times New Roman" w:cs="Times New Roman"/>
                <w:color w:val="595959" w:themeColor="text1" w:themeTint="A6"/>
                <w:sz w:val="20"/>
                <w:szCs w:val="20"/>
              </w:rPr>
              <w:t>Cloke and Edwards, 1986; Cloke, 1977</w:t>
            </w:r>
            <w:r w:rsidRPr="00C005F2">
              <w:rPr>
                <w:rFonts w:ascii="Times New Roman" w:hAnsi="Times New Roman" w:cs="Times New Roman"/>
              </w:rPr>
              <w:t>)</w:t>
            </w:r>
          </w:p>
        </w:tc>
        <w:tc>
          <w:tcPr>
            <w:tcW w:w="1231" w:type="dxa"/>
          </w:tcPr>
          <w:p w:rsidR="00F059D3" w:rsidRPr="00EF56B9" w:rsidRDefault="00F059D3" w:rsidP="00FB14AC">
            <w:pPr>
              <w:jc w:val="center"/>
              <w:rPr>
                <w:rFonts w:ascii="Times New Roman" w:hAnsi="Times New Roman" w:cs="Times New Roman"/>
              </w:rPr>
            </w:pPr>
            <w:r w:rsidRPr="00EF56B9">
              <w:rPr>
                <w:rFonts w:ascii="Times New Roman" w:hAnsi="Times New Roman" w:cs="Times New Roman"/>
              </w:rPr>
              <w:t>Negative</w:t>
            </w:r>
          </w:p>
        </w:tc>
        <w:tc>
          <w:tcPr>
            <w:tcW w:w="2312" w:type="dxa"/>
          </w:tcPr>
          <w:p w:rsidR="00F059D3" w:rsidRPr="00EF56B9" w:rsidRDefault="00F059D3" w:rsidP="00FB14AC">
            <w:pPr>
              <w:jc w:val="center"/>
              <w:rPr>
                <w:rFonts w:ascii="Times New Roman" w:hAnsi="Times New Roman" w:cs="Times New Roman"/>
              </w:rPr>
            </w:pPr>
            <w:r>
              <w:rPr>
                <w:rFonts w:ascii="Times New Roman" w:hAnsi="Times New Roman" w:cs="Times New Roman"/>
              </w:rPr>
              <w:t xml:space="preserve">Population living per sq. km. area </w:t>
            </w:r>
          </w:p>
        </w:tc>
      </w:tr>
      <w:tr w:rsidR="00F059D3" w:rsidTr="006A15EA">
        <w:trPr>
          <w:trHeight w:val="251"/>
        </w:trPr>
        <w:tc>
          <w:tcPr>
            <w:tcW w:w="1414" w:type="dxa"/>
            <w:vMerge/>
          </w:tcPr>
          <w:p w:rsidR="00F059D3" w:rsidRPr="00EF56B9" w:rsidRDefault="00F059D3" w:rsidP="00FB14AC">
            <w:pPr>
              <w:jc w:val="center"/>
              <w:rPr>
                <w:rFonts w:ascii="Times New Roman" w:hAnsi="Times New Roman" w:cs="Times New Roman"/>
              </w:rPr>
            </w:pPr>
          </w:p>
        </w:tc>
        <w:tc>
          <w:tcPr>
            <w:tcW w:w="3191" w:type="dxa"/>
          </w:tcPr>
          <w:p w:rsidR="00F059D3" w:rsidRPr="00EF56B9" w:rsidRDefault="00F059D3" w:rsidP="00FB14AC">
            <w:pPr>
              <w:jc w:val="center"/>
              <w:rPr>
                <w:rFonts w:ascii="Times New Roman" w:hAnsi="Times New Roman" w:cs="Times New Roman"/>
              </w:rPr>
            </w:pPr>
            <w:r w:rsidRPr="00EF56B9">
              <w:rPr>
                <w:rFonts w:ascii="Times New Roman" w:hAnsi="Times New Roman" w:cs="Times New Roman"/>
              </w:rPr>
              <w:t>Household</w:t>
            </w:r>
            <w:r>
              <w:rPr>
                <w:rFonts w:ascii="Times New Roman" w:hAnsi="Times New Roman" w:cs="Times New Roman"/>
              </w:rPr>
              <w:t xml:space="preserve"> (HH)</w:t>
            </w:r>
            <w:r w:rsidRPr="00EF56B9">
              <w:rPr>
                <w:rFonts w:ascii="Times New Roman" w:hAnsi="Times New Roman" w:cs="Times New Roman"/>
              </w:rPr>
              <w:t xml:space="preserve"> size</w:t>
            </w:r>
            <w:r>
              <w:rPr>
                <w:rFonts w:ascii="Times New Roman" w:hAnsi="Times New Roman" w:cs="Times New Roman"/>
              </w:rPr>
              <w:t xml:space="preserve"> </w:t>
            </w:r>
            <w:r w:rsidRPr="00C005F2">
              <w:rPr>
                <w:rFonts w:ascii="Times New Roman" w:hAnsi="Times New Roman" w:cs="Times New Roman"/>
                <w:color w:val="7F7F7F" w:themeColor="text1" w:themeTint="80"/>
                <w:sz w:val="20"/>
                <w:szCs w:val="20"/>
              </w:rPr>
              <w:t>(</w:t>
            </w:r>
            <w:r w:rsidRPr="00C005F2">
              <w:rPr>
                <w:rFonts w:ascii="Times New Roman" w:hAnsi="Times New Roman" w:cs="Times New Roman"/>
                <w:color w:val="595959" w:themeColor="text1" w:themeTint="A6"/>
                <w:sz w:val="20"/>
                <w:szCs w:val="20"/>
              </w:rPr>
              <w:t>Harrington and O’Donoghue, 1998; Cloke and Edwards, 1986; Cloke, 1977</w:t>
            </w:r>
            <w:r w:rsidRPr="00C005F2">
              <w:rPr>
                <w:rFonts w:ascii="Times New Roman" w:hAnsi="Times New Roman" w:cs="Times New Roman"/>
                <w:color w:val="7F7F7F" w:themeColor="text1" w:themeTint="80"/>
                <w:sz w:val="20"/>
                <w:szCs w:val="20"/>
              </w:rPr>
              <w:t>)</w:t>
            </w:r>
          </w:p>
        </w:tc>
        <w:tc>
          <w:tcPr>
            <w:tcW w:w="1231" w:type="dxa"/>
          </w:tcPr>
          <w:p w:rsidR="00F059D3" w:rsidRPr="00EF56B9" w:rsidRDefault="00F059D3" w:rsidP="00FB14AC">
            <w:pPr>
              <w:jc w:val="center"/>
              <w:rPr>
                <w:rFonts w:ascii="Times New Roman" w:hAnsi="Times New Roman" w:cs="Times New Roman"/>
              </w:rPr>
            </w:pPr>
            <w:r w:rsidRPr="00EF56B9">
              <w:rPr>
                <w:rFonts w:ascii="Times New Roman" w:hAnsi="Times New Roman" w:cs="Times New Roman"/>
              </w:rPr>
              <w:t>Positive</w:t>
            </w:r>
          </w:p>
        </w:tc>
        <w:tc>
          <w:tcPr>
            <w:tcW w:w="2312" w:type="dxa"/>
          </w:tcPr>
          <w:p w:rsidR="00F059D3" w:rsidRPr="00EF56B9" w:rsidRDefault="00F059D3" w:rsidP="00FB14AC">
            <w:pPr>
              <w:jc w:val="center"/>
              <w:rPr>
                <w:rFonts w:ascii="Times New Roman" w:hAnsi="Times New Roman" w:cs="Times New Roman"/>
              </w:rPr>
            </w:pPr>
            <w:r>
              <w:rPr>
                <w:rFonts w:ascii="Times New Roman" w:hAnsi="Times New Roman" w:cs="Times New Roman"/>
              </w:rPr>
              <w:t>Average size of HHs</w:t>
            </w:r>
          </w:p>
        </w:tc>
      </w:tr>
      <w:tr w:rsidR="00F059D3" w:rsidTr="006A15EA">
        <w:trPr>
          <w:trHeight w:val="251"/>
        </w:trPr>
        <w:tc>
          <w:tcPr>
            <w:tcW w:w="1414" w:type="dxa"/>
            <w:vMerge/>
          </w:tcPr>
          <w:p w:rsidR="00F059D3" w:rsidRPr="00EF56B9" w:rsidRDefault="00F059D3" w:rsidP="00FB14AC">
            <w:pPr>
              <w:jc w:val="center"/>
              <w:rPr>
                <w:rFonts w:ascii="Times New Roman" w:hAnsi="Times New Roman" w:cs="Times New Roman"/>
              </w:rPr>
            </w:pPr>
          </w:p>
        </w:tc>
        <w:tc>
          <w:tcPr>
            <w:tcW w:w="3191" w:type="dxa"/>
          </w:tcPr>
          <w:p w:rsidR="00F059D3" w:rsidRPr="00EF56B9" w:rsidRDefault="00F059D3" w:rsidP="00FB14AC">
            <w:pPr>
              <w:jc w:val="center"/>
              <w:rPr>
                <w:rFonts w:ascii="Times New Roman" w:hAnsi="Times New Roman" w:cs="Times New Roman"/>
              </w:rPr>
            </w:pPr>
            <w:r w:rsidRPr="00EF56B9">
              <w:rPr>
                <w:rFonts w:ascii="Times New Roman" w:hAnsi="Times New Roman" w:cs="Times New Roman"/>
              </w:rPr>
              <w:t>Young population</w:t>
            </w:r>
            <w:r>
              <w:rPr>
                <w:rFonts w:ascii="Times New Roman" w:hAnsi="Times New Roman" w:cs="Times New Roman"/>
              </w:rPr>
              <w:t xml:space="preserve"> </w:t>
            </w:r>
            <w:r w:rsidRPr="00402085">
              <w:rPr>
                <w:rFonts w:ascii="Times New Roman" w:hAnsi="Times New Roman" w:cs="Times New Roman"/>
                <w:color w:val="7F7F7F" w:themeColor="text1" w:themeTint="80"/>
                <w:sz w:val="20"/>
                <w:szCs w:val="20"/>
              </w:rPr>
              <w:t>(</w:t>
            </w:r>
            <w:r w:rsidRPr="00C005F2">
              <w:rPr>
                <w:rFonts w:ascii="Times New Roman" w:hAnsi="Times New Roman" w:cs="Times New Roman"/>
                <w:bCs/>
                <w:color w:val="595959" w:themeColor="text1" w:themeTint="A6"/>
                <w:spacing w:val="-5"/>
                <w:sz w:val="20"/>
                <w:szCs w:val="20"/>
                <w:shd w:val="clear" w:color="auto" w:fill="FFFFFF"/>
              </w:rPr>
              <w:t>Ocaña-Riola</w:t>
            </w:r>
            <w:r w:rsidRPr="00C005F2">
              <w:rPr>
                <w:rFonts w:ascii="Times New Roman" w:hAnsi="Times New Roman" w:cs="Times New Roman"/>
                <w:color w:val="595959" w:themeColor="text1" w:themeTint="A6"/>
                <w:sz w:val="20"/>
                <w:szCs w:val="20"/>
              </w:rPr>
              <w:t xml:space="preserve"> and </w:t>
            </w:r>
            <w:r w:rsidRPr="00C005F2">
              <w:rPr>
                <w:rFonts w:ascii="Times New Roman" w:hAnsi="Times New Roman" w:cs="Times New Roman"/>
                <w:bCs/>
                <w:color w:val="595959" w:themeColor="text1" w:themeTint="A6"/>
                <w:spacing w:val="-5"/>
                <w:sz w:val="20"/>
                <w:szCs w:val="20"/>
                <w:shd w:val="clear" w:color="auto" w:fill="FFFFFF"/>
              </w:rPr>
              <w:t>Sánchez-Cantalejo, 2005</w:t>
            </w:r>
            <w:r w:rsidRPr="00402085">
              <w:rPr>
                <w:rFonts w:ascii="Times New Roman" w:hAnsi="Times New Roman" w:cs="Times New Roman"/>
                <w:color w:val="7F7F7F" w:themeColor="text1" w:themeTint="80"/>
                <w:sz w:val="20"/>
                <w:szCs w:val="20"/>
              </w:rPr>
              <w:t xml:space="preserve">) </w:t>
            </w:r>
          </w:p>
        </w:tc>
        <w:tc>
          <w:tcPr>
            <w:tcW w:w="1231" w:type="dxa"/>
          </w:tcPr>
          <w:p w:rsidR="00F059D3" w:rsidRPr="00EF56B9" w:rsidRDefault="00F059D3" w:rsidP="00FB14AC">
            <w:pPr>
              <w:jc w:val="center"/>
              <w:rPr>
                <w:rFonts w:ascii="Times New Roman" w:hAnsi="Times New Roman" w:cs="Times New Roman"/>
              </w:rPr>
            </w:pPr>
            <w:r w:rsidRPr="00EF56B9">
              <w:rPr>
                <w:rFonts w:ascii="Times New Roman" w:hAnsi="Times New Roman" w:cs="Times New Roman"/>
              </w:rPr>
              <w:t>Positive</w:t>
            </w:r>
          </w:p>
        </w:tc>
        <w:tc>
          <w:tcPr>
            <w:tcW w:w="2312" w:type="dxa"/>
          </w:tcPr>
          <w:p w:rsidR="00F059D3" w:rsidRPr="00EF56B9" w:rsidRDefault="00F059D3" w:rsidP="00FB14AC">
            <w:pPr>
              <w:jc w:val="center"/>
              <w:rPr>
                <w:rFonts w:ascii="Times New Roman" w:hAnsi="Times New Roman" w:cs="Times New Roman"/>
              </w:rPr>
            </w:pPr>
            <w:r>
              <w:rPr>
                <w:rFonts w:ascii="Times New Roman" w:hAnsi="Times New Roman" w:cs="Times New Roman"/>
              </w:rPr>
              <w:t>% of population aged 0-14 years old</w:t>
            </w:r>
          </w:p>
        </w:tc>
      </w:tr>
      <w:tr w:rsidR="00F059D3" w:rsidTr="006A15EA">
        <w:trPr>
          <w:trHeight w:val="251"/>
        </w:trPr>
        <w:tc>
          <w:tcPr>
            <w:tcW w:w="1414" w:type="dxa"/>
            <w:vMerge/>
          </w:tcPr>
          <w:p w:rsidR="00F059D3" w:rsidRPr="00EF56B9" w:rsidRDefault="00F059D3" w:rsidP="00FB14AC">
            <w:pPr>
              <w:jc w:val="center"/>
              <w:rPr>
                <w:rFonts w:ascii="Times New Roman" w:hAnsi="Times New Roman" w:cs="Times New Roman"/>
              </w:rPr>
            </w:pPr>
          </w:p>
        </w:tc>
        <w:tc>
          <w:tcPr>
            <w:tcW w:w="3191" w:type="dxa"/>
          </w:tcPr>
          <w:p w:rsidR="00F059D3" w:rsidRPr="00EF56B9" w:rsidRDefault="00F059D3" w:rsidP="00FB14AC">
            <w:pPr>
              <w:jc w:val="center"/>
              <w:rPr>
                <w:rFonts w:ascii="Times New Roman" w:hAnsi="Times New Roman" w:cs="Times New Roman"/>
              </w:rPr>
            </w:pPr>
            <w:r>
              <w:rPr>
                <w:rFonts w:ascii="Times New Roman" w:hAnsi="Times New Roman" w:cs="Times New Roman"/>
              </w:rPr>
              <w:t>Senior</w:t>
            </w:r>
            <w:r w:rsidRPr="00EF56B9">
              <w:rPr>
                <w:rFonts w:ascii="Times New Roman" w:hAnsi="Times New Roman" w:cs="Times New Roman"/>
              </w:rPr>
              <w:t xml:space="preserve"> population</w:t>
            </w:r>
            <w:r>
              <w:rPr>
                <w:rFonts w:ascii="Times New Roman" w:hAnsi="Times New Roman" w:cs="Times New Roman"/>
              </w:rPr>
              <w:t xml:space="preserve"> </w:t>
            </w:r>
            <w:r w:rsidRPr="00402085">
              <w:rPr>
                <w:rFonts w:ascii="Times New Roman" w:hAnsi="Times New Roman" w:cs="Times New Roman"/>
                <w:color w:val="7F7F7F" w:themeColor="text1" w:themeTint="80"/>
                <w:sz w:val="20"/>
                <w:szCs w:val="20"/>
              </w:rPr>
              <w:t>(</w:t>
            </w:r>
            <w:r w:rsidRPr="00C005F2">
              <w:rPr>
                <w:rFonts w:ascii="Times New Roman" w:hAnsi="Times New Roman" w:cs="Times New Roman"/>
                <w:color w:val="595959" w:themeColor="text1" w:themeTint="A6"/>
                <w:sz w:val="20"/>
                <w:szCs w:val="20"/>
              </w:rPr>
              <w:t xml:space="preserve"> Beynon et al. 2016</w:t>
            </w:r>
            <w:r>
              <w:rPr>
                <w:rFonts w:ascii="Times New Roman" w:hAnsi="Times New Roman" w:cs="Times New Roman"/>
                <w:color w:val="595959" w:themeColor="text1" w:themeTint="A6"/>
                <w:sz w:val="20"/>
                <w:szCs w:val="20"/>
              </w:rPr>
              <w:t xml:space="preserve">; </w:t>
            </w:r>
            <w:r w:rsidRPr="00C005F2">
              <w:rPr>
                <w:rFonts w:ascii="Times New Roman" w:hAnsi="Times New Roman" w:cs="Times New Roman"/>
                <w:bCs/>
                <w:color w:val="595959" w:themeColor="text1" w:themeTint="A6"/>
                <w:spacing w:val="-5"/>
                <w:sz w:val="20"/>
                <w:szCs w:val="20"/>
                <w:shd w:val="clear" w:color="auto" w:fill="FFFFFF"/>
              </w:rPr>
              <w:t>Ocaña-Riola</w:t>
            </w:r>
            <w:r w:rsidRPr="00C005F2">
              <w:rPr>
                <w:rFonts w:ascii="Times New Roman" w:hAnsi="Times New Roman" w:cs="Times New Roman"/>
                <w:color w:val="595959" w:themeColor="text1" w:themeTint="A6"/>
                <w:sz w:val="20"/>
                <w:szCs w:val="20"/>
              </w:rPr>
              <w:t xml:space="preserve"> and </w:t>
            </w:r>
            <w:r w:rsidRPr="00C005F2">
              <w:rPr>
                <w:rFonts w:ascii="Times New Roman" w:hAnsi="Times New Roman" w:cs="Times New Roman"/>
                <w:bCs/>
                <w:color w:val="595959" w:themeColor="text1" w:themeTint="A6"/>
                <w:spacing w:val="-5"/>
                <w:sz w:val="20"/>
                <w:szCs w:val="20"/>
                <w:shd w:val="clear" w:color="auto" w:fill="FFFFFF"/>
              </w:rPr>
              <w:t>Sánchez-Cantalejo, 2005</w:t>
            </w:r>
            <w:r>
              <w:rPr>
                <w:rFonts w:ascii="Times New Roman" w:hAnsi="Times New Roman" w:cs="Times New Roman"/>
                <w:bCs/>
                <w:color w:val="595959" w:themeColor="text1" w:themeTint="A6"/>
                <w:spacing w:val="-5"/>
                <w:sz w:val="20"/>
                <w:szCs w:val="20"/>
                <w:shd w:val="clear" w:color="auto" w:fill="FFFFFF"/>
              </w:rPr>
              <w:t>;</w:t>
            </w:r>
            <w:r w:rsidRPr="00C005F2">
              <w:rPr>
                <w:rFonts w:ascii="Times New Roman" w:hAnsi="Times New Roman" w:cs="Times New Roman"/>
                <w:color w:val="595959" w:themeColor="text1" w:themeTint="A6"/>
                <w:sz w:val="20"/>
                <w:szCs w:val="20"/>
              </w:rPr>
              <w:t xml:space="preserve"> Harrington and O’Donoghue, 1998</w:t>
            </w:r>
            <w:r>
              <w:rPr>
                <w:rFonts w:ascii="Times New Roman" w:hAnsi="Times New Roman" w:cs="Times New Roman"/>
                <w:color w:val="595959" w:themeColor="text1" w:themeTint="A6"/>
                <w:sz w:val="20"/>
                <w:szCs w:val="20"/>
              </w:rPr>
              <w:t>; Clevland, 1995;</w:t>
            </w:r>
            <w:r w:rsidRPr="00C005F2">
              <w:rPr>
                <w:rFonts w:ascii="Times New Roman" w:hAnsi="Times New Roman" w:cs="Times New Roman"/>
                <w:color w:val="595959" w:themeColor="text1" w:themeTint="A6"/>
                <w:sz w:val="20"/>
                <w:szCs w:val="20"/>
              </w:rPr>
              <w:t xml:space="preserve"> Cloke and Edwards, 1986; Cloke, 1977</w:t>
            </w:r>
            <w:r w:rsidRPr="00402085">
              <w:rPr>
                <w:rFonts w:ascii="Times New Roman" w:hAnsi="Times New Roman" w:cs="Times New Roman"/>
                <w:color w:val="7F7F7F" w:themeColor="text1" w:themeTint="80"/>
                <w:sz w:val="20"/>
                <w:szCs w:val="20"/>
              </w:rPr>
              <w:t>)</w:t>
            </w:r>
          </w:p>
        </w:tc>
        <w:tc>
          <w:tcPr>
            <w:tcW w:w="1231" w:type="dxa"/>
          </w:tcPr>
          <w:p w:rsidR="00F059D3" w:rsidRPr="00EF56B9" w:rsidRDefault="00F059D3" w:rsidP="00FB14AC">
            <w:pPr>
              <w:jc w:val="center"/>
              <w:rPr>
                <w:rFonts w:ascii="Times New Roman" w:hAnsi="Times New Roman" w:cs="Times New Roman"/>
              </w:rPr>
            </w:pPr>
            <w:r w:rsidRPr="00EF56B9">
              <w:rPr>
                <w:rFonts w:ascii="Times New Roman" w:hAnsi="Times New Roman" w:cs="Times New Roman"/>
              </w:rPr>
              <w:t>Positive</w:t>
            </w:r>
          </w:p>
        </w:tc>
        <w:tc>
          <w:tcPr>
            <w:tcW w:w="2312" w:type="dxa"/>
          </w:tcPr>
          <w:p w:rsidR="00F059D3" w:rsidRPr="00EF56B9" w:rsidRDefault="00F059D3" w:rsidP="00FB14AC">
            <w:pPr>
              <w:jc w:val="center"/>
              <w:rPr>
                <w:rFonts w:ascii="Times New Roman" w:hAnsi="Times New Roman" w:cs="Times New Roman"/>
              </w:rPr>
            </w:pPr>
            <w:r>
              <w:rPr>
                <w:rFonts w:ascii="Times New Roman" w:hAnsi="Times New Roman" w:cs="Times New Roman"/>
              </w:rPr>
              <w:t>% of population aged above 65 years old</w:t>
            </w:r>
          </w:p>
        </w:tc>
      </w:tr>
      <w:tr w:rsidR="00F059D3" w:rsidTr="006A15EA">
        <w:trPr>
          <w:trHeight w:val="267"/>
        </w:trPr>
        <w:tc>
          <w:tcPr>
            <w:tcW w:w="1414" w:type="dxa"/>
            <w:vMerge/>
          </w:tcPr>
          <w:p w:rsidR="00F059D3" w:rsidRPr="00EF56B9" w:rsidRDefault="00F059D3" w:rsidP="00FB14AC">
            <w:pPr>
              <w:jc w:val="center"/>
              <w:rPr>
                <w:rFonts w:ascii="Times New Roman" w:hAnsi="Times New Roman" w:cs="Times New Roman"/>
              </w:rPr>
            </w:pPr>
          </w:p>
        </w:tc>
        <w:tc>
          <w:tcPr>
            <w:tcW w:w="3191" w:type="dxa"/>
          </w:tcPr>
          <w:p w:rsidR="00F059D3" w:rsidRPr="00EF56B9" w:rsidRDefault="00F059D3" w:rsidP="00FB14AC">
            <w:pPr>
              <w:jc w:val="center"/>
              <w:rPr>
                <w:rFonts w:ascii="Times New Roman" w:hAnsi="Times New Roman" w:cs="Times New Roman"/>
              </w:rPr>
            </w:pPr>
            <w:r w:rsidRPr="00EF56B9">
              <w:rPr>
                <w:rFonts w:ascii="Times New Roman" w:hAnsi="Times New Roman" w:cs="Times New Roman"/>
              </w:rPr>
              <w:t>Ethnic population</w:t>
            </w:r>
            <w:r>
              <w:rPr>
                <w:rFonts w:ascii="Times New Roman" w:hAnsi="Times New Roman" w:cs="Times New Roman"/>
              </w:rPr>
              <w:t xml:space="preserve"> </w:t>
            </w:r>
          </w:p>
        </w:tc>
        <w:tc>
          <w:tcPr>
            <w:tcW w:w="1231" w:type="dxa"/>
          </w:tcPr>
          <w:p w:rsidR="00F059D3" w:rsidRPr="00EF56B9" w:rsidRDefault="00F059D3" w:rsidP="00FB14AC">
            <w:pPr>
              <w:jc w:val="center"/>
              <w:rPr>
                <w:rFonts w:ascii="Times New Roman" w:hAnsi="Times New Roman" w:cs="Times New Roman"/>
              </w:rPr>
            </w:pPr>
            <w:r>
              <w:rPr>
                <w:rFonts w:ascii="Times New Roman" w:hAnsi="Times New Roman" w:cs="Times New Roman"/>
              </w:rPr>
              <w:t>positive</w:t>
            </w:r>
          </w:p>
        </w:tc>
        <w:tc>
          <w:tcPr>
            <w:tcW w:w="2312" w:type="dxa"/>
          </w:tcPr>
          <w:p w:rsidR="00F059D3" w:rsidRPr="00EF56B9" w:rsidRDefault="00F059D3" w:rsidP="00FB14AC">
            <w:pPr>
              <w:jc w:val="center"/>
              <w:rPr>
                <w:rFonts w:ascii="Times New Roman" w:hAnsi="Times New Roman" w:cs="Times New Roman"/>
              </w:rPr>
            </w:pPr>
            <w:r>
              <w:rPr>
                <w:rFonts w:ascii="Times New Roman" w:hAnsi="Times New Roman" w:cs="Times New Roman"/>
              </w:rPr>
              <w:t>% of ethnic population</w:t>
            </w:r>
          </w:p>
        </w:tc>
      </w:tr>
      <w:tr w:rsidR="00F059D3" w:rsidTr="006A15EA">
        <w:trPr>
          <w:trHeight w:val="251"/>
        </w:trPr>
        <w:tc>
          <w:tcPr>
            <w:tcW w:w="1414" w:type="dxa"/>
            <w:vMerge/>
          </w:tcPr>
          <w:p w:rsidR="00F059D3" w:rsidRPr="00EF56B9" w:rsidRDefault="00F059D3" w:rsidP="00FB14AC">
            <w:pPr>
              <w:jc w:val="center"/>
              <w:rPr>
                <w:rFonts w:ascii="Times New Roman" w:hAnsi="Times New Roman" w:cs="Times New Roman"/>
              </w:rPr>
            </w:pPr>
          </w:p>
        </w:tc>
        <w:tc>
          <w:tcPr>
            <w:tcW w:w="3191" w:type="dxa"/>
          </w:tcPr>
          <w:p w:rsidR="00F059D3" w:rsidRPr="00EF56B9" w:rsidRDefault="00F059D3" w:rsidP="00FB14AC">
            <w:pPr>
              <w:jc w:val="center"/>
              <w:rPr>
                <w:rFonts w:ascii="Times New Roman" w:hAnsi="Times New Roman" w:cs="Times New Roman"/>
              </w:rPr>
            </w:pPr>
            <w:r w:rsidRPr="00EF56B9">
              <w:rPr>
                <w:rFonts w:ascii="Times New Roman" w:hAnsi="Times New Roman" w:cs="Times New Roman"/>
              </w:rPr>
              <w:t>Disable population</w:t>
            </w:r>
          </w:p>
        </w:tc>
        <w:tc>
          <w:tcPr>
            <w:tcW w:w="1231" w:type="dxa"/>
          </w:tcPr>
          <w:p w:rsidR="00F059D3" w:rsidRPr="00EF56B9" w:rsidRDefault="00F059D3" w:rsidP="00FB14AC">
            <w:pPr>
              <w:jc w:val="center"/>
              <w:rPr>
                <w:rFonts w:ascii="Times New Roman" w:hAnsi="Times New Roman" w:cs="Times New Roman"/>
              </w:rPr>
            </w:pPr>
            <w:r w:rsidRPr="00EF56B9">
              <w:rPr>
                <w:rFonts w:ascii="Times New Roman" w:hAnsi="Times New Roman" w:cs="Times New Roman"/>
              </w:rPr>
              <w:t>Positive</w:t>
            </w:r>
          </w:p>
        </w:tc>
        <w:tc>
          <w:tcPr>
            <w:tcW w:w="2312" w:type="dxa"/>
          </w:tcPr>
          <w:p w:rsidR="00F059D3" w:rsidRPr="00EF56B9" w:rsidRDefault="00F059D3" w:rsidP="00FB14AC">
            <w:pPr>
              <w:jc w:val="center"/>
              <w:rPr>
                <w:rFonts w:ascii="Times New Roman" w:hAnsi="Times New Roman" w:cs="Times New Roman"/>
              </w:rPr>
            </w:pPr>
            <w:r>
              <w:rPr>
                <w:rFonts w:ascii="Times New Roman" w:hAnsi="Times New Roman" w:cs="Times New Roman"/>
              </w:rPr>
              <w:t>% of disable population</w:t>
            </w:r>
          </w:p>
        </w:tc>
      </w:tr>
      <w:tr w:rsidR="00F059D3" w:rsidTr="006A15EA">
        <w:trPr>
          <w:trHeight w:val="251"/>
        </w:trPr>
        <w:tc>
          <w:tcPr>
            <w:tcW w:w="1414" w:type="dxa"/>
            <w:vMerge w:val="restart"/>
          </w:tcPr>
          <w:p w:rsidR="00F059D3" w:rsidRPr="00EF56B9" w:rsidRDefault="00F059D3" w:rsidP="00FB14AC">
            <w:pPr>
              <w:jc w:val="center"/>
              <w:rPr>
                <w:rFonts w:ascii="Times New Roman" w:hAnsi="Times New Roman" w:cs="Times New Roman"/>
              </w:rPr>
            </w:pPr>
            <w:r w:rsidRPr="00EF56B9">
              <w:rPr>
                <w:rFonts w:ascii="Times New Roman" w:hAnsi="Times New Roman" w:cs="Times New Roman"/>
              </w:rPr>
              <w:t>Education profile</w:t>
            </w:r>
          </w:p>
        </w:tc>
        <w:tc>
          <w:tcPr>
            <w:tcW w:w="3191" w:type="dxa"/>
          </w:tcPr>
          <w:p w:rsidR="00F059D3" w:rsidRPr="00EF56B9" w:rsidRDefault="00F059D3" w:rsidP="00FB14AC">
            <w:pPr>
              <w:jc w:val="center"/>
              <w:rPr>
                <w:rFonts w:ascii="Times New Roman" w:hAnsi="Times New Roman" w:cs="Times New Roman"/>
              </w:rPr>
            </w:pPr>
            <w:r w:rsidRPr="00EF56B9">
              <w:rPr>
                <w:rFonts w:ascii="Times New Roman" w:hAnsi="Times New Roman" w:cs="Times New Roman"/>
              </w:rPr>
              <w:t>Male literacy</w:t>
            </w:r>
          </w:p>
        </w:tc>
        <w:tc>
          <w:tcPr>
            <w:tcW w:w="1231" w:type="dxa"/>
          </w:tcPr>
          <w:p w:rsidR="00F059D3" w:rsidRPr="00EF56B9" w:rsidRDefault="00F059D3" w:rsidP="00FB14AC">
            <w:pPr>
              <w:jc w:val="center"/>
              <w:rPr>
                <w:rFonts w:ascii="Times New Roman" w:hAnsi="Times New Roman" w:cs="Times New Roman"/>
              </w:rPr>
            </w:pPr>
            <w:r w:rsidRPr="00EF56B9">
              <w:rPr>
                <w:rFonts w:ascii="Times New Roman" w:hAnsi="Times New Roman" w:cs="Times New Roman"/>
              </w:rPr>
              <w:t>Negative</w:t>
            </w:r>
          </w:p>
        </w:tc>
        <w:tc>
          <w:tcPr>
            <w:tcW w:w="2312" w:type="dxa"/>
          </w:tcPr>
          <w:p w:rsidR="00F059D3" w:rsidRPr="00EF56B9" w:rsidRDefault="00F059D3" w:rsidP="00FB14AC">
            <w:pPr>
              <w:jc w:val="center"/>
              <w:rPr>
                <w:rFonts w:ascii="Times New Roman" w:hAnsi="Times New Roman" w:cs="Times New Roman"/>
              </w:rPr>
            </w:pPr>
            <w:r>
              <w:rPr>
                <w:rFonts w:ascii="Times New Roman" w:hAnsi="Times New Roman" w:cs="Times New Roman"/>
              </w:rPr>
              <w:t>% of male population who are literate</w:t>
            </w:r>
          </w:p>
        </w:tc>
      </w:tr>
      <w:tr w:rsidR="00F059D3" w:rsidTr="006A15EA">
        <w:trPr>
          <w:trHeight w:val="251"/>
        </w:trPr>
        <w:tc>
          <w:tcPr>
            <w:tcW w:w="1414" w:type="dxa"/>
            <w:vMerge/>
          </w:tcPr>
          <w:p w:rsidR="00F059D3" w:rsidRPr="00EF56B9" w:rsidRDefault="00F059D3" w:rsidP="00FB14AC">
            <w:pPr>
              <w:jc w:val="center"/>
              <w:rPr>
                <w:rFonts w:ascii="Times New Roman" w:hAnsi="Times New Roman" w:cs="Times New Roman"/>
              </w:rPr>
            </w:pPr>
          </w:p>
        </w:tc>
        <w:tc>
          <w:tcPr>
            <w:tcW w:w="3191" w:type="dxa"/>
          </w:tcPr>
          <w:p w:rsidR="00F059D3" w:rsidRPr="00EF56B9" w:rsidRDefault="00F059D3" w:rsidP="00FB14AC">
            <w:pPr>
              <w:jc w:val="center"/>
              <w:rPr>
                <w:rFonts w:ascii="Times New Roman" w:hAnsi="Times New Roman" w:cs="Times New Roman"/>
              </w:rPr>
            </w:pPr>
            <w:r w:rsidRPr="00EF56B9">
              <w:rPr>
                <w:rFonts w:ascii="Times New Roman" w:hAnsi="Times New Roman" w:cs="Times New Roman"/>
              </w:rPr>
              <w:t>Female literacy</w:t>
            </w:r>
          </w:p>
        </w:tc>
        <w:tc>
          <w:tcPr>
            <w:tcW w:w="1231" w:type="dxa"/>
          </w:tcPr>
          <w:p w:rsidR="00F059D3" w:rsidRPr="00EF56B9" w:rsidRDefault="00F059D3" w:rsidP="00FB14AC">
            <w:pPr>
              <w:jc w:val="center"/>
              <w:rPr>
                <w:rFonts w:ascii="Times New Roman" w:hAnsi="Times New Roman" w:cs="Times New Roman"/>
              </w:rPr>
            </w:pPr>
            <w:r w:rsidRPr="00EF56B9">
              <w:rPr>
                <w:rFonts w:ascii="Times New Roman" w:hAnsi="Times New Roman" w:cs="Times New Roman"/>
              </w:rPr>
              <w:t>Negative</w:t>
            </w:r>
          </w:p>
        </w:tc>
        <w:tc>
          <w:tcPr>
            <w:tcW w:w="2312" w:type="dxa"/>
          </w:tcPr>
          <w:p w:rsidR="00F059D3" w:rsidRPr="00EF56B9" w:rsidRDefault="00F059D3" w:rsidP="00FB14AC">
            <w:pPr>
              <w:jc w:val="center"/>
              <w:rPr>
                <w:rFonts w:ascii="Times New Roman" w:hAnsi="Times New Roman" w:cs="Times New Roman"/>
              </w:rPr>
            </w:pPr>
            <w:r>
              <w:rPr>
                <w:rFonts w:ascii="Times New Roman" w:hAnsi="Times New Roman" w:cs="Times New Roman"/>
              </w:rPr>
              <w:t>% of female population who are literate</w:t>
            </w:r>
          </w:p>
        </w:tc>
      </w:tr>
      <w:tr w:rsidR="00F059D3" w:rsidTr="006A15EA">
        <w:trPr>
          <w:trHeight w:val="251"/>
        </w:trPr>
        <w:tc>
          <w:tcPr>
            <w:tcW w:w="1414" w:type="dxa"/>
            <w:vMerge w:val="restart"/>
          </w:tcPr>
          <w:p w:rsidR="00F059D3" w:rsidRPr="00EF56B9" w:rsidRDefault="00F059D3" w:rsidP="00FB14AC">
            <w:pPr>
              <w:jc w:val="center"/>
              <w:rPr>
                <w:rFonts w:ascii="Times New Roman" w:hAnsi="Times New Roman" w:cs="Times New Roman"/>
              </w:rPr>
            </w:pPr>
            <w:r>
              <w:rPr>
                <w:rFonts w:ascii="Times New Roman" w:hAnsi="Times New Roman" w:cs="Times New Roman"/>
              </w:rPr>
              <w:t>House, water &amp; Sanitation facilities</w:t>
            </w:r>
          </w:p>
        </w:tc>
        <w:tc>
          <w:tcPr>
            <w:tcW w:w="3191" w:type="dxa"/>
          </w:tcPr>
          <w:p w:rsidR="00F059D3" w:rsidRPr="00EF56B9" w:rsidRDefault="00F059D3" w:rsidP="00FB14AC">
            <w:pPr>
              <w:jc w:val="center"/>
              <w:rPr>
                <w:rFonts w:ascii="Times New Roman" w:hAnsi="Times New Roman" w:cs="Times New Roman"/>
              </w:rPr>
            </w:pPr>
            <w:r>
              <w:rPr>
                <w:rFonts w:ascii="Times New Roman" w:hAnsi="Times New Roman" w:cs="Times New Roman"/>
              </w:rPr>
              <w:t xml:space="preserve">Kutcha-Jhupri house </w:t>
            </w:r>
            <w:r w:rsidRPr="00977D48">
              <w:rPr>
                <w:rFonts w:ascii="Times New Roman" w:hAnsi="Times New Roman" w:cs="Times New Roman"/>
                <w:color w:val="7F7F7F" w:themeColor="text1" w:themeTint="80"/>
                <w:sz w:val="20"/>
                <w:szCs w:val="20"/>
              </w:rPr>
              <w:t>(</w:t>
            </w:r>
            <w:r w:rsidRPr="00C005F2">
              <w:rPr>
                <w:rFonts w:ascii="Times New Roman" w:hAnsi="Times New Roman" w:cs="Times New Roman"/>
                <w:color w:val="595959" w:themeColor="text1" w:themeTint="A6"/>
                <w:sz w:val="20"/>
                <w:szCs w:val="20"/>
              </w:rPr>
              <w:t>Cloke and Edwards, 1986</w:t>
            </w:r>
            <w:r>
              <w:rPr>
                <w:rFonts w:ascii="Times New Roman" w:hAnsi="Times New Roman" w:cs="Times New Roman"/>
                <w:color w:val="595959" w:themeColor="text1" w:themeTint="A6"/>
                <w:sz w:val="20"/>
                <w:szCs w:val="20"/>
              </w:rPr>
              <w:t xml:space="preserve">; </w:t>
            </w:r>
            <w:r w:rsidRPr="00C005F2">
              <w:rPr>
                <w:rFonts w:ascii="Times New Roman" w:hAnsi="Times New Roman" w:cs="Times New Roman"/>
                <w:color w:val="595959" w:themeColor="text1" w:themeTint="A6"/>
                <w:sz w:val="20"/>
                <w:szCs w:val="20"/>
              </w:rPr>
              <w:t>Cloke, 1977</w:t>
            </w:r>
            <w:r w:rsidRPr="00977D48">
              <w:rPr>
                <w:rFonts w:ascii="Times New Roman" w:hAnsi="Times New Roman" w:cs="Times New Roman"/>
                <w:color w:val="7F7F7F" w:themeColor="text1" w:themeTint="80"/>
                <w:sz w:val="20"/>
                <w:szCs w:val="20"/>
              </w:rPr>
              <w:t>)</w:t>
            </w:r>
          </w:p>
        </w:tc>
        <w:tc>
          <w:tcPr>
            <w:tcW w:w="1231" w:type="dxa"/>
          </w:tcPr>
          <w:p w:rsidR="00F059D3" w:rsidRPr="00EF56B9" w:rsidRDefault="00F059D3" w:rsidP="00FB14AC">
            <w:pPr>
              <w:jc w:val="center"/>
              <w:rPr>
                <w:rFonts w:ascii="Times New Roman" w:hAnsi="Times New Roman" w:cs="Times New Roman"/>
              </w:rPr>
            </w:pPr>
            <w:r>
              <w:rPr>
                <w:rFonts w:ascii="Times New Roman" w:hAnsi="Times New Roman" w:cs="Times New Roman"/>
              </w:rPr>
              <w:t>Positive</w:t>
            </w:r>
          </w:p>
        </w:tc>
        <w:tc>
          <w:tcPr>
            <w:tcW w:w="2312" w:type="dxa"/>
          </w:tcPr>
          <w:p w:rsidR="00F059D3" w:rsidRPr="00EF56B9" w:rsidRDefault="00F059D3" w:rsidP="00FB14AC">
            <w:pPr>
              <w:jc w:val="center"/>
              <w:rPr>
                <w:rFonts w:ascii="Times New Roman" w:hAnsi="Times New Roman" w:cs="Times New Roman"/>
              </w:rPr>
            </w:pPr>
            <w:r>
              <w:rPr>
                <w:rFonts w:ascii="Times New Roman" w:hAnsi="Times New Roman" w:cs="Times New Roman"/>
              </w:rPr>
              <w:t>% of HHs living in kutcha &amp; jhupri houses</w:t>
            </w:r>
          </w:p>
        </w:tc>
      </w:tr>
      <w:tr w:rsidR="00F059D3" w:rsidTr="006A15EA">
        <w:trPr>
          <w:trHeight w:val="312"/>
        </w:trPr>
        <w:tc>
          <w:tcPr>
            <w:tcW w:w="1414" w:type="dxa"/>
            <w:vMerge/>
          </w:tcPr>
          <w:p w:rsidR="00F059D3" w:rsidRPr="00EF56B9" w:rsidRDefault="00F059D3" w:rsidP="00FB14AC">
            <w:pPr>
              <w:jc w:val="center"/>
              <w:rPr>
                <w:rFonts w:ascii="Times New Roman" w:hAnsi="Times New Roman" w:cs="Times New Roman"/>
              </w:rPr>
            </w:pPr>
          </w:p>
        </w:tc>
        <w:tc>
          <w:tcPr>
            <w:tcW w:w="3191" w:type="dxa"/>
          </w:tcPr>
          <w:p w:rsidR="00F059D3" w:rsidRPr="00EF56B9" w:rsidRDefault="00F059D3" w:rsidP="00FB14AC">
            <w:pPr>
              <w:jc w:val="center"/>
              <w:rPr>
                <w:rFonts w:ascii="Times New Roman" w:hAnsi="Times New Roman" w:cs="Times New Roman"/>
              </w:rPr>
            </w:pPr>
            <w:r>
              <w:rPr>
                <w:rFonts w:ascii="Times New Roman" w:hAnsi="Times New Roman" w:cs="Times New Roman"/>
              </w:rPr>
              <w:t xml:space="preserve">Non-sanitary toilet </w:t>
            </w:r>
            <w:r w:rsidRPr="00977D48">
              <w:rPr>
                <w:rFonts w:ascii="Times New Roman" w:hAnsi="Times New Roman" w:cs="Times New Roman"/>
                <w:color w:val="7F7F7F" w:themeColor="text1" w:themeTint="80"/>
                <w:sz w:val="20"/>
                <w:szCs w:val="20"/>
              </w:rPr>
              <w:t>(</w:t>
            </w:r>
            <w:r w:rsidRPr="00C005F2">
              <w:rPr>
                <w:rFonts w:ascii="Times New Roman" w:hAnsi="Times New Roman" w:cs="Times New Roman"/>
                <w:color w:val="595959" w:themeColor="text1" w:themeTint="A6"/>
                <w:sz w:val="20"/>
                <w:szCs w:val="20"/>
              </w:rPr>
              <w:t>Harrington and O’Donoghue, 1998</w:t>
            </w:r>
            <w:r>
              <w:rPr>
                <w:rFonts w:ascii="Times New Roman" w:hAnsi="Times New Roman" w:cs="Times New Roman"/>
                <w:color w:val="595959" w:themeColor="text1" w:themeTint="A6"/>
                <w:sz w:val="20"/>
                <w:szCs w:val="20"/>
              </w:rPr>
              <w:t>;</w:t>
            </w:r>
            <w:r w:rsidRPr="00C005F2">
              <w:rPr>
                <w:rFonts w:ascii="Times New Roman" w:hAnsi="Times New Roman" w:cs="Times New Roman"/>
                <w:color w:val="595959" w:themeColor="text1" w:themeTint="A6"/>
                <w:sz w:val="20"/>
                <w:szCs w:val="20"/>
              </w:rPr>
              <w:t xml:space="preserve"> Cloke and Edwards, 1986</w:t>
            </w:r>
            <w:r>
              <w:rPr>
                <w:rFonts w:ascii="Times New Roman" w:hAnsi="Times New Roman" w:cs="Times New Roman"/>
                <w:color w:val="595959" w:themeColor="text1" w:themeTint="A6"/>
                <w:sz w:val="20"/>
                <w:szCs w:val="20"/>
              </w:rPr>
              <w:t xml:space="preserve">; </w:t>
            </w:r>
            <w:r w:rsidRPr="00C005F2">
              <w:rPr>
                <w:rFonts w:ascii="Times New Roman" w:hAnsi="Times New Roman" w:cs="Times New Roman"/>
                <w:color w:val="595959" w:themeColor="text1" w:themeTint="A6"/>
                <w:sz w:val="20"/>
                <w:szCs w:val="20"/>
              </w:rPr>
              <w:t>Cloke, 1977</w:t>
            </w:r>
            <w:r w:rsidRPr="00977D48">
              <w:rPr>
                <w:rFonts w:ascii="Times New Roman" w:hAnsi="Times New Roman" w:cs="Times New Roman"/>
                <w:color w:val="7F7F7F" w:themeColor="text1" w:themeTint="80"/>
                <w:sz w:val="20"/>
                <w:szCs w:val="20"/>
              </w:rPr>
              <w:t>)</w:t>
            </w:r>
          </w:p>
        </w:tc>
        <w:tc>
          <w:tcPr>
            <w:tcW w:w="1231" w:type="dxa"/>
          </w:tcPr>
          <w:p w:rsidR="00F059D3" w:rsidRPr="00EF56B9" w:rsidRDefault="00F059D3" w:rsidP="00FB14AC">
            <w:pPr>
              <w:jc w:val="center"/>
              <w:rPr>
                <w:rFonts w:ascii="Times New Roman" w:hAnsi="Times New Roman" w:cs="Times New Roman"/>
              </w:rPr>
            </w:pPr>
            <w:r>
              <w:rPr>
                <w:rFonts w:ascii="Times New Roman" w:hAnsi="Times New Roman" w:cs="Times New Roman"/>
              </w:rPr>
              <w:t>Positive</w:t>
            </w:r>
          </w:p>
        </w:tc>
        <w:tc>
          <w:tcPr>
            <w:tcW w:w="2312" w:type="dxa"/>
          </w:tcPr>
          <w:p w:rsidR="00F059D3" w:rsidRPr="00EF56B9" w:rsidRDefault="00F059D3" w:rsidP="00FB14AC">
            <w:pPr>
              <w:jc w:val="center"/>
              <w:rPr>
                <w:rFonts w:ascii="Times New Roman" w:hAnsi="Times New Roman" w:cs="Times New Roman"/>
              </w:rPr>
            </w:pPr>
            <w:r>
              <w:rPr>
                <w:rFonts w:ascii="Times New Roman" w:hAnsi="Times New Roman" w:cs="Times New Roman"/>
              </w:rPr>
              <w:t>% of HHs having no access to sanitary toilet facilities</w:t>
            </w:r>
          </w:p>
        </w:tc>
      </w:tr>
      <w:tr w:rsidR="00F059D3" w:rsidTr="006A15EA">
        <w:trPr>
          <w:trHeight w:val="578"/>
        </w:trPr>
        <w:tc>
          <w:tcPr>
            <w:tcW w:w="1414" w:type="dxa"/>
            <w:vMerge/>
          </w:tcPr>
          <w:p w:rsidR="00F059D3" w:rsidRPr="00EF56B9" w:rsidRDefault="00F059D3" w:rsidP="00FB14AC">
            <w:pPr>
              <w:jc w:val="center"/>
              <w:rPr>
                <w:rFonts w:ascii="Times New Roman" w:hAnsi="Times New Roman" w:cs="Times New Roman"/>
              </w:rPr>
            </w:pPr>
          </w:p>
        </w:tc>
        <w:tc>
          <w:tcPr>
            <w:tcW w:w="3191" w:type="dxa"/>
          </w:tcPr>
          <w:p w:rsidR="00F059D3" w:rsidRPr="00EF56B9" w:rsidRDefault="00F059D3" w:rsidP="00FB14AC">
            <w:pPr>
              <w:jc w:val="center"/>
              <w:rPr>
                <w:rFonts w:ascii="Times New Roman" w:hAnsi="Times New Roman" w:cs="Times New Roman"/>
              </w:rPr>
            </w:pPr>
            <w:r>
              <w:rPr>
                <w:rFonts w:ascii="Times New Roman" w:hAnsi="Times New Roman" w:cs="Times New Roman"/>
              </w:rPr>
              <w:t xml:space="preserve">Tube well water </w:t>
            </w:r>
            <w:r w:rsidRPr="00977D48">
              <w:rPr>
                <w:rFonts w:ascii="Times New Roman" w:hAnsi="Times New Roman" w:cs="Times New Roman"/>
                <w:color w:val="7F7F7F" w:themeColor="text1" w:themeTint="80"/>
                <w:sz w:val="20"/>
                <w:szCs w:val="20"/>
              </w:rPr>
              <w:t>(</w:t>
            </w:r>
            <w:r w:rsidRPr="00C005F2">
              <w:rPr>
                <w:rFonts w:ascii="Times New Roman" w:hAnsi="Times New Roman" w:cs="Times New Roman"/>
                <w:color w:val="595959" w:themeColor="text1" w:themeTint="A6"/>
                <w:sz w:val="20"/>
                <w:szCs w:val="20"/>
              </w:rPr>
              <w:t xml:space="preserve"> Cloke and Edwards, 1986</w:t>
            </w:r>
            <w:r>
              <w:rPr>
                <w:rFonts w:ascii="Times New Roman" w:hAnsi="Times New Roman" w:cs="Times New Roman"/>
                <w:color w:val="595959" w:themeColor="text1" w:themeTint="A6"/>
                <w:sz w:val="20"/>
                <w:szCs w:val="20"/>
              </w:rPr>
              <w:t xml:space="preserve">; </w:t>
            </w:r>
            <w:r w:rsidRPr="00C005F2">
              <w:rPr>
                <w:rFonts w:ascii="Times New Roman" w:hAnsi="Times New Roman" w:cs="Times New Roman"/>
                <w:color w:val="595959" w:themeColor="text1" w:themeTint="A6"/>
                <w:sz w:val="20"/>
                <w:szCs w:val="20"/>
              </w:rPr>
              <w:t>Cloke, 1977</w:t>
            </w:r>
            <w:r w:rsidRPr="00977D48">
              <w:rPr>
                <w:rFonts w:ascii="Times New Roman" w:hAnsi="Times New Roman" w:cs="Times New Roman"/>
                <w:color w:val="7F7F7F" w:themeColor="text1" w:themeTint="80"/>
                <w:sz w:val="20"/>
                <w:szCs w:val="20"/>
              </w:rPr>
              <w:t>)</w:t>
            </w:r>
            <w:r>
              <w:rPr>
                <w:rFonts w:ascii="Times New Roman" w:hAnsi="Times New Roman" w:cs="Times New Roman"/>
              </w:rPr>
              <w:t xml:space="preserve"> </w:t>
            </w:r>
          </w:p>
        </w:tc>
        <w:tc>
          <w:tcPr>
            <w:tcW w:w="1231" w:type="dxa"/>
          </w:tcPr>
          <w:p w:rsidR="00F059D3" w:rsidRPr="00EF56B9" w:rsidRDefault="00F059D3" w:rsidP="00FB14AC">
            <w:pPr>
              <w:jc w:val="center"/>
              <w:rPr>
                <w:rFonts w:ascii="Times New Roman" w:hAnsi="Times New Roman" w:cs="Times New Roman"/>
              </w:rPr>
            </w:pPr>
            <w:r>
              <w:rPr>
                <w:rFonts w:ascii="Times New Roman" w:hAnsi="Times New Roman" w:cs="Times New Roman"/>
              </w:rPr>
              <w:t>Negative</w:t>
            </w:r>
          </w:p>
        </w:tc>
        <w:tc>
          <w:tcPr>
            <w:tcW w:w="2312" w:type="dxa"/>
          </w:tcPr>
          <w:p w:rsidR="00F059D3" w:rsidRPr="00EF56B9" w:rsidRDefault="00F059D3" w:rsidP="00FB14AC">
            <w:pPr>
              <w:jc w:val="center"/>
              <w:rPr>
                <w:rFonts w:ascii="Times New Roman" w:hAnsi="Times New Roman" w:cs="Times New Roman"/>
              </w:rPr>
            </w:pPr>
            <w:r>
              <w:rPr>
                <w:rFonts w:ascii="Times New Roman" w:hAnsi="Times New Roman" w:cs="Times New Roman"/>
              </w:rPr>
              <w:t>% of HHs using tube well as the source of drinking water</w:t>
            </w:r>
          </w:p>
        </w:tc>
      </w:tr>
    </w:tbl>
    <w:p w:rsidR="006A15EA" w:rsidRDefault="006A15EA" w:rsidP="006A15EA">
      <w:pPr>
        <w:jc w:val="center"/>
        <w:rPr>
          <w:sz w:val="22"/>
        </w:rPr>
      </w:pPr>
      <w:r>
        <w:rPr>
          <w:sz w:val="22"/>
        </w:rPr>
        <w:t>Source: Authors’ compilation based on literature review and expert views</w:t>
      </w:r>
    </w:p>
    <w:p w:rsidR="006A15EA" w:rsidRDefault="009F6647" w:rsidP="006A15EA">
      <w:pPr>
        <w:spacing w:line="240" w:lineRule="auto"/>
        <w:jc w:val="center"/>
        <w:rPr>
          <w:rFonts w:cs="Times New Roman"/>
          <w:i/>
          <w:szCs w:val="24"/>
        </w:rPr>
      </w:pPr>
      <w:r>
        <w:rPr>
          <w:rFonts w:cs="Times New Roman"/>
          <w:szCs w:val="24"/>
        </w:rPr>
        <w:lastRenderedPageBreak/>
        <w:t>Table 3</w:t>
      </w:r>
      <w:r w:rsidR="006A15EA" w:rsidRPr="006A15EA">
        <w:rPr>
          <w:rFonts w:cs="Times New Roman"/>
          <w:szCs w:val="24"/>
        </w:rPr>
        <w:t xml:space="preserve">: </w:t>
      </w:r>
      <w:r w:rsidR="006A15EA" w:rsidRPr="006A15EA">
        <w:rPr>
          <w:rFonts w:cs="Times New Roman"/>
          <w:i/>
          <w:szCs w:val="24"/>
        </w:rPr>
        <w:t>Cont.</w:t>
      </w:r>
    </w:p>
    <w:tbl>
      <w:tblPr>
        <w:tblStyle w:val="TableGrid"/>
        <w:tblpPr w:leftFromText="180" w:rightFromText="180" w:vertAnchor="text" w:horzAnchor="margin" w:tblpXSpec="center" w:tblpY="194"/>
        <w:tblW w:w="8148" w:type="dxa"/>
        <w:tblLook w:val="04A0" w:firstRow="1" w:lastRow="0" w:firstColumn="1" w:lastColumn="0" w:noHBand="0" w:noVBand="1"/>
      </w:tblPr>
      <w:tblGrid>
        <w:gridCol w:w="1345"/>
        <w:gridCol w:w="3240"/>
        <w:gridCol w:w="1260"/>
        <w:gridCol w:w="2303"/>
      </w:tblGrid>
      <w:tr w:rsidR="006A15EA" w:rsidTr="00FB14AC">
        <w:trPr>
          <w:trHeight w:val="519"/>
        </w:trPr>
        <w:tc>
          <w:tcPr>
            <w:tcW w:w="1345" w:type="dxa"/>
          </w:tcPr>
          <w:p w:rsidR="006A15EA" w:rsidRPr="00EF56B9" w:rsidRDefault="006A15EA" w:rsidP="00FB14AC">
            <w:pPr>
              <w:jc w:val="center"/>
              <w:rPr>
                <w:rFonts w:ascii="Times New Roman" w:hAnsi="Times New Roman" w:cs="Times New Roman"/>
                <w:b/>
              </w:rPr>
            </w:pPr>
            <w:r w:rsidRPr="00EF56B9">
              <w:rPr>
                <w:rFonts w:ascii="Times New Roman" w:hAnsi="Times New Roman" w:cs="Times New Roman"/>
                <w:b/>
              </w:rPr>
              <w:t>Dimension</w:t>
            </w:r>
          </w:p>
        </w:tc>
        <w:tc>
          <w:tcPr>
            <w:tcW w:w="3240" w:type="dxa"/>
          </w:tcPr>
          <w:p w:rsidR="006A15EA" w:rsidRPr="00EF56B9" w:rsidRDefault="006A15EA" w:rsidP="00FB14AC">
            <w:pPr>
              <w:jc w:val="center"/>
              <w:rPr>
                <w:rFonts w:ascii="Times New Roman" w:hAnsi="Times New Roman" w:cs="Times New Roman"/>
                <w:b/>
              </w:rPr>
            </w:pPr>
            <w:r w:rsidRPr="00EF56B9">
              <w:rPr>
                <w:rFonts w:ascii="Times New Roman" w:hAnsi="Times New Roman" w:cs="Times New Roman"/>
                <w:b/>
              </w:rPr>
              <w:t>Indicator</w:t>
            </w:r>
          </w:p>
        </w:tc>
        <w:tc>
          <w:tcPr>
            <w:tcW w:w="1260" w:type="dxa"/>
          </w:tcPr>
          <w:p w:rsidR="006A15EA" w:rsidRPr="00EF56B9" w:rsidRDefault="006A15EA" w:rsidP="00FB14AC">
            <w:pPr>
              <w:jc w:val="center"/>
              <w:rPr>
                <w:rFonts w:ascii="Times New Roman" w:hAnsi="Times New Roman" w:cs="Times New Roman"/>
                <w:b/>
              </w:rPr>
            </w:pPr>
            <w:r w:rsidRPr="00EF56B9">
              <w:rPr>
                <w:rFonts w:ascii="Times New Roman" w:hAnsi="Times New Roman" w:cs="Times New Roman"/>
                <w:b/>
              </w:rPr>
              <w:t>Functional Relation to Rurality</w:t>
            </w:r>
          </w:p>
        </w:tc>
        <w:tc>
          <w:tcPr>
            <w:tcW w:w="2303" w:type="dxa"/>
          </w:tcPr>
          <w:p w:rsidR="006A15EA" w:rsidRPr="00EF56B9" w:rsidRDefault="006A15EA" w:rsidP="00FB14AC">
            <w:pPr>
              <w:jc w:val="center"/>
              <w:rPr>
                <w:rFonts w:ascii="Times New Roman" w:hAnsi="Times New Roman" w:cs="Times New Roman"/>
                <w:b/>
              </w:rPr>
            </w:pPr>
            <w:r w:rsidRPr="00EF56B9">
              <w:rPr>
                <w:rFonts w:ascii="Times New Roman" w:hAnsi="Times New Roman" w:cs="Times New Roman"/>
                <w:b/>
              </w:rPr>
              <w:t>Explanation</w:t>
            </w:r>
          </w:p>
        </w:tc>
      </w:tr>
      <w:tr w:rsidR="006A15EA" w:rsidTr="00FB14AC">
        <w:trPr>
          <w:trHeight w:val="251"/>
        </w:trPr>
        <w:tc>
          <w:tcPr>
            <w:tcW w:w="1345" w:type="dxa"/>
            <w:vMerge w:val="restart"/>
          </w:tcPr>
          <w:p w:rsidR="006A15EA" w:rsidRDefault="006A15EA" w:rsidP="00FB14AC">
            <w:pPr>
              <w:jc w:val="center"/>
              <w:rPr>
                <w:rFonts w:ascii="Times New Roman" w:hAnsi="Times New Roman" w:cs="Times New Roman"/>
              </w:rPr>
            </w:pPr>
          </w:p>
          <w:p w:rsidR="006A15EA" w:rsidRDefault="006A15EA" w:rsidP="00FB14AC">
            <w:pPr>
              <w:jc w:val="center"/>
              <w:rPr>
                <w:rFonts w:ascii="Times New Roman" w:hAnsi="Times New Roman" w:cs="Times New Roman"/>
              </w:rPr>
            </w:pPr>
          </w:p>
          <w:p w:rsidR="006A15EA" w:rsidRDefault="006A15EA" w:rsidP="00FB14AC">
            <w:pPr>
              <w:jc w:val="center"/>
              <w:rPr>
                <w:rFonts w:ascii="Times New Roman" w:hAnsi="Times New Roman" w:cs="Times New Roman"/>
              </w:rPr>
            </w:pPr>
          </w:p>
          <w:p w:rsidR="006A15EA" w:rsidRDefault="006A15EA" w:rsidP="00FB14AC">
            <w:pPr>
              <w:jc w:val="center"/>
              <w:rPr>
                <w:rFonts w:ascii="Times New Roman" w:hAnsi="Times New Roman" w:cs="Times New Roman"/>
              </w:rPr>
            </w:pPr>
          </w:p>
          <w:p w:rsidR="006A15EA" w:rsidRPr="00EF56B9" w:rsidRDefault="006A15EA" w:rsidP="00FB14AC">
            <w:pPr>
              <w:jc w:val="center"/>
              <w:rPr>
                <w:rFonts w:ascii="Times New Roman" w:hAnsi="Times New Roman" w:cs="Times New Roman"/>
              </w:rPr>
            </w:pPr>
            <w:r>
              <w:rPr>
                <w:rFonts w:ascii="Times New Roman" w:hAnsi="Times New Roman" w:cs="Times New Roman"/>
              </w:rPr>
              <w:t>Socio-economic profile</w:t>
            </w:r>
          </w:p>
        </w:tc>
        <w:tc>
          <w:tcPr>
            <w:tcW w:w="3240" w:type="dxa"/>
          </w:tcPr>
          <w:p w:rsidR="006A15EA" w:rsidRPr="00EF56B9" w:rsidRDefault="006A15EA" w:rsidP="00FB14AC">
            <w:pPr>
              <w:jc w:val="center"/>
              <w:rPr>
                <w:rFonts w:ascii="Times New Roman" w:hAnsi="Times New Roman" w:cs="Times New Roman"/>
              </w:rPr>
            </w:pPr>
            <w:r w:rsidRPr="00EF56B9">
              <w:rPr>
                <w:rFonts w:ascii="Times New Roman" w:hAnsi="Times New Roman" w:cs="Times New Roman"/>
              </w:rPr>
              <w:t>Employed male</w:t>
            </w:r>
            <w:r>
              <w:rPr>
                <w:rFonts w:ascii="Times New Roman" w:hAnsi="Times New Roman" w:cs="Times New Roman"/>
              </w:rPr>
              <w:t xml:space="preserve"> (</w:t>
            </w:r>
            <w:r>
              <w:rPr>
                <w:rFonts w:ascii="Times New Roman" w:hAnsi="Times New Roman" w:cs="Times New Roman"/>
                <w:color w:val="7F7F7F" w:themeColor="text1" w:themeTint="80"/>
                <w:sz w:val="20"/>
                <w:szCs w:val="20"/>
              </w:rPr>
              <w:t>Beynon et al. 2016;</w:t>
            </w:r>
            <w:r>
              <w:rPr>
                <w:rFonts w:ascii="Times New Roman" w:hAnsi="Times New Roman" w:cs="Times New Roman"/>
                <w:color w:val="595959" w:themeColor="text1" w:themeTint="A6"/>
                <w:sz w:val="20"/>
                <w:szCs w:val="20"/>
              </w:rPr>
              <w:t xml:space="preserve"> Clevland, 1995;</w:t>
            </w:r>
            <w:r w:rsidRPr="00C005F2">
              <w:rPr>
                <w:rFonts w:ascii="Times New Roman" w:hAnsi="Times New Roman" w:cs="Times New Roman"/>
                <w:color w:val="595959" w:themeColor="text1" w:themeTint="A6"/>
                <w:sz w:val="20"/>
                <w:szCs w:val="20"/>
              </w:rPr>
              <w:t xml:space="preserve"> Cloke, 1977</w:t>
            </w:r>
            <w:r>
              <w:rPr>
                <w:rFonts w:ascii="Times New Roman" w:hAnsi="Times New Roman" w:cs="Times New Roman"/>
                <w:color w:val="595959" w:themeColor="text1" w:themeTint="A6"/>
                <w:sz w:val="20"/>
                <w:szCs w:val="20"/>
              </w:rPr>
              <w:t xml:space="preserve">; </w:t>
            </w:r>
            <w:r>
              <w:rPr>
                <w:rFonts w:ascii="Times New Roman" w:hAnsi="Times New Roman" w:cs="Times New Roman"/>
                <w:color w:val="7F7F7F" w:themeColor="text1" w:themeTint="80"/>
                <w:sz w:val="20"/>
                <w:szCs w:val="20"/>
              </w:rPr>
              <w:t>Smith et al. 1973</w:t>
            </w:r>
            <w:r>
              <w:rPr>
                <w:rFonts w:ascii="Times New Roman" w:hAnsi="Times New Roman" w:cs="Times New Roman"/>
              </w:rPr>
              <w:t>)</w:t>
            </w:r>
          </w:p>
        </w:tc>
        <w:tc>
          <w:tcPr>
            <w:tcW w:w="1260" w:type="dxa"/>
          </w:tcPr>
          <w:p w:rsidR="006A15EA" w:rsidRPr="00EF56B9" w:rsidRDefault="006A15EA" w:rsidP="00FB14AC">
            <w:pPr>
              <w:jc w:val="center"/>
              <w:rPr>
                <w:rFonts w:ascii="Times New Roman" w:hAnsi="Times New Roman" w:cs="Times New Roman"/>
              </w:rPr>
            </w:pPr>
            <w:r w:rsidRPr="00EF56B9">
              <w:rPr>
                <w:rFonts w:ascii="Times New Roman" w:hAnsi="Times New Roman" w:cs="Times New Roman"/>
              </w:rPr>
              <w:t>Negative</w:t>
            </w:r>
          </w:p>
        </w:tc>
        <w:tc>
          <w:tcPr>
            <w:tcW w:w="2303" w:type="dxa"/>
          </w:tcPr>
          <w:p w:rsidR="006A15EA" w:rsidRPr="00EF56B9" w:rsidRDefault="006A15EA" w:rsidP="00FB14AC">
            <w:pPr>
              <w:jc w:val="center"/>
              <w:rPr>
                <w:rFonts w:ascii="Times New Roman" w:hAnsi="Times New Roman" w:cs="Times New Roman"/>
              </w:rPr>
            </w:pPr>
            <w:r>
              <w:rPr>
                <w:rFonts w:ascii="Times New Roman" w:hAnsi="Times New Roman" w:cs="Times New Roman"/>
              </w:rPr>
              <w:t>% of employed male population</w:t>
            </w:r>
          </w:p>
        </w:tc>
      </w:tr>
      <w:tr w:rsidR="006A15EA" w:rsidTr="00FB14AC">
        <w:trPr>
          <w:trHeight w:val="251"/>
        </w:trPr>
        <w:tc>
          <w:tcPr>
            <w:tcW w:w="1345" w:type="dxa"/>
            <w:vMerge/>
          </w:tcPr>
          <w:p w:rsidR="006A15EA" w:rsidRPr="00EF56B9" w:rsidRDefault="006A15EA" w:rsidP="00FB14AC">
            <w:pPr>
              <w:jc w:val="center"/>
              <w:rPr>
                <w:rFonts w:ascii="Times New Roman" w:hAnsi="Times New Roman" w:cs="Times New Roman"/>
              </w:rPr>
            </w:pPr>
          </w:p>
        </w:tc>
        <w:tc>
          <w:tcPr>
            <w:tcW w:w="3240" w:type="dxa"/>
          </w:tcPr>
          <w:p w:rsidR="006A15EA" w:rsidRPr="00EF56B9" w:rsidRDefault="006A15EA" w:rsidP="00FB14AC">
            <w:pPr>
              <w:jc w:val="center"/>
              <w:rPr>
                <w:rFonts w:ascii="Times New Roman" w:hAnsi="Times New Roman" w:cs="Times New Roman"/>
              </w:rPr>
            </w:pPr>
            <w:r w:rsidRPr="00EF56B9">
              <w:rPr>
                <w:rFonts w:ascii="Times New Roman" w:hAnsi="Times New Roman" w:cs="Times New Roman"/>
              </w:rPr>
              <w:t>Employed female</w:t>
            </w:r>
            <w:r>
              <w:rPr>
                <w:rFonts w:ascii="Times New Roman" w:hAnsi="Times New Roman" w:cs="Times New Roman"/>
              </w:rPr>
              <w:t xml:space="preserve"> (</w:t>
            </w:r>
            <w:r>
              <w:rPr>
                <w:rFonts w:ascii="Times New Roman" w:hAnsi="Times New Roman" w:cs="Times New Roman"/>
                <w:color w:val="7F7F7F" w:themeColor="text1" w:themeTint="80"/>
                <w:sz w:val="20"/>
                <w:szCs w:val="20"/>
              </w:rPr>
              <w:t>Beynon et al. 2016;</w:t>
            </w:r>
            <w:r>
              <w:rPr>
                <w:rFonts w:ascii="Times New Roman" w:hAnsi="Times New Roman" w:cs="Times New Roman"/>
                <w:color w:val="595959" w:themeColor="text1" w:themeTint="A6"/>
                <w:sz w:val="20"/>
                <w:szCs w:val="20"/>
              </w:rPr>
              <w:t xml:space="preserve"> Clevland, 1995;</w:t>
            </w:r>
            <w:r w:rsidRPr="00C005F2">
              <w:rPr>
                <w:rFonts w:ascii="Times New Roman" w:hAnsi="Times New Roman" w:cs="Times New Roman"/>
                <w:color w:val="595959" w:themeColor="text1" w:themeTint="A6"/>
                <w:sz w:val="20"/>
                <w:szCs w:val="20"/>
              </w:rPr>
              <w:t xml:space="preserve"> Cloke, 1977</w:t>
            </w:r>
            <w:r>
              <w:rPr>
                <w:rFonts w:ascii="Times New Roman" w:hAnsi="Times New Roman" w:cs="Times New Roman"/>
                <w:color w:val="595959" w:themeColor="text1" w:themeTint="A6"/>
                <w:sz w:val="20"/>
                <w:szCs w:val="20"/>
              </w:rPr>
              <w:t xml:space="preserve">; </w:t>
            </w:r>
            <w:r>
              <w:rPr>
                <w:rFonts w:ascii="Times New Roman" w:hAnsi="Times New Roman" w:cs="Times New Roman"/>
                <w:color w:val="7F7F7F" w:themeColor="text1" w:themeTint="80"/>
                <w:sz w:val="20"/>
                <w:szCs w:val="20"/>
              </w:rPr>
              <w:t>Smith et al. 1973</w:t>
            </w:r>
            <w:r>
              <w:rPr>
                <w:rFonts w:ascii="Times New Roman" w:hAnsi="Times New Roman" w:cs="Times New Roman"/>
              </w:rPr>
              <w:t>)</w:t>
            </w:r>
          </w:p>
        </w:tc>
        <w:tc>
          <w:tcPr>
            <w:tcW w:w="1260" w:type="dxa"/>
          </w:tcPr>
          <w:p w:rsidR="006A15EA" w:rsidRPr="00EF56B9" w:rsidRDefault="006A15EA" w:rsidP="00FB14AC">
            <w:pPr>
              <w:jc w:val="center"/>
              <w:rPr>
                <w:rFonts w:ascii="Times New Roman" w:hAnsi="Times New Roman" w:cs="Times New Roman"/>
              </w:rPr>
            </w:pPr>
            <w:r w:rsidRPr="00EF56B9">
              <w:rPr>
                <w:rFonts w:ascii="Times New Roman" w:hAnsi="Times New Roman" w:cs="Times New Roman"/>
              </w:rPr>
              <w:t>Negative</w:t>
            </w:r>
          </w:p>
        </w:tc>
        <w:tc>
          <w:tcPr>
            <w:tcW w:w="2303" w:type="dxa"/>
          </w:tcPr>
          <w:p w:rsidR="006A15EA" w:rsidRPr="00EF56B9" w:rsidRDefault="006A15EA" w:rsidP="00FB14AC">
            <w:pPr>
              <w:jc w:val="center"/>
              <w:rPr>
                <w:rFonts w:ascii="Times New Roman" w:hAnsi="Times New Roman" w:cs="Times New Roman"/>
              </w:rPr>
            </w:pPr>
            <w:r>
              <w:rPr>
                <w:rFonts w:ascii="Times New Roman" w:hAnsi="Times New Roman" w:cs="Times New Roman"/>
              </w:rPr>
              <w:t>% of employed female population</w:t>
            </w:r>
          </w:p>
        </w:tc>
      </w:tr>
      <w:tr w:rsidR="006A15EA" w:rsidTr="00FB14AC">
        <w:trPr>
          <w:trHeight w:val="251"/>
        </w:trPr>
        <w:tc>
          <w:tcPr>
            <w:tcW w:w="1345" w:type="dxa"/>
            <w:vMerge/>
          </w:tcPr>
          <w:p w:rsidR="006A15EA" w:rsidRPr="00EF56B9" w:rsidRDefault="006A15EA" w:rsidP="00FB14AC">
            <w:pPr>
              <w:jc w:val="center"/>
              <w:rPr>
                <w:rFonts w:ascii="Times New Roman" w:hAnsi="Times New Roman" w:cs="Times New Roman"/>
              </w:rPr>
            </w:pPr>
          </w:p>
        </w:tc>
        <w:tc>
          <w:tcPr>
            <w:tcW w:w="3240" w:type="dxa"/>
          </w:tcPr>
          <w:p w:rsidR="006A15EA" w:rsidRPr="00EF56B9" w:rsidRDefault="006A15EA" w:rsidP="00FB14AC">
            <w:pPr>
              <w:jc w:val="center"/>
              <w:rPr>
                <w:rFonts w:ascii="Times New Roman" w:hAnsi="Times New Roman" w:cs="Times New Roman"/>
              </w:rPr>
            </w:pPr>
            <w:r w:rsidRPr="00EF56B9">
              <w:rPr>
                <w:rFonts w:ascii="Times New Roman" w:hAnsi="Times New Roman" w:cs="Times New Roman"/>
              </w:rPr>
              <w:t>Agricultural employment male</w:t>
            </w:r>
            <w:r>
              <w:rPr>
                <w:rFonts w:ascii="Times New Roman" w:hAnsi="Times New Roman" w:cs="Times New Roman"/>
              </w:rPr>
              <w:t xml:space="preserve"> </w:t>
            </w:r>
            <w:r w:rsidRPr="00977D48">
              <w:rPr>
                <w:rFonts w:ascii="Times New Roman" w:hAnsi="Times New Roman" w:cs="Times New Roman"/>
                <w:color w:val="7F7F7F" w:themeColor="text1" w:themeTint="80"/>
                <w:sz w:val="20"/>
                <w:szCs w:val="20"/>
              </w:rPr>
              <w:t>(</w:t>
            </w:r>
            <w:r>
              <w:rPr>
                <w:rFonts w:ascii="Times New Roman" w:hAnsi="Times New Roman" w:cs="Times New Roman"/>
                <w:color w:val="7F7F7F" w:themeColor="text1" w:themeTint="80"/>
                <w:sz w:val="20"/>
                <w:szCs w:val="20"/>
              </w:rPr>
              <w:t>Beynon et al. 2016;</w:t>
            </w:r>
            <w:r w:rsidRPr="00C005F2">
              <w:rPr>
                <w:rFonts w:ascii="Times New Roman" w:hAnsi="Times New Roman" w:cs="Times New Roman"/>
                <w:bCs/>
                <w:color w:val="595959" w:themeColor="text1" w:themeTint="A6"/>
                <w:spacing w:val="-5"/>
                <w:sz w:val="20"/>
                <w:szCs w:val="20"/>
                <w:shd w:val="clear" w:color="auto" w:fill="FFFFFF"/>
              </w:rPr>
              <w:t xml:space="preserve"> Ocaña-Riola</w:t>
            </w:r>
            <w:r w:rsidRPr="00C005F2">
              <w:rPr>
                <w:rFonts w:ascii="Times New Roman" w:hAnsi="Times New Roman" w:cs="Times New Roman"/>
                <w:color w:val="595959" w:themeColor="text1" w:themeTint="A6"/>
                <w:sz w:val="20"/>
                <w:szCs w:val="20"/>
              </w:rPr>
              <w:t xml:space="preserve"> and </w:t>
            </w:r>
            <w:r w:rsidRPr="00C005F2">
              <w:rPr>
                <w:rFonts w:ascii="Times New Roman" w:hAnsi="Times New Roman" w:cs="Times New Roman"/>
                <w:bCs/>
                <w:color w:val="595959" w:themeColor="text1" w:themeTint="A6"/>
                <w:spacing w:val="-5"/>
                <w:sz w:val="20"/>
                <w:szCs w:val="20"/>
                <w:shd w:val="clear" w:color="auto" w:fill="FFFFFF"/>
              </w:rPr>
              <w:t>Sánchez-Cantalejo, 2005</w:t>
            </w:r>
            <w:r>
              <w:rPr>
                <w:rFonts w:ascii="Times New Roman" w:hAnsi="Times New Roman" w:cs="Times New Roman"/>
                <w:color w:val="595959" w:themeColor="text1" w:themeTint="A6"/>
                <w:sz w:val="20"/>
                <w:szCs w:val="20"/>
              </w:rPr>
              <w:t>;</w:t>
            </w:r>
            <w:r w:rsidRPr="00C005F2">
              <w:rPr>
                <w:rFonts w:ascii="Times New Roman" w:hAnsi="Times New Roman" w:cs="Times New Roman"/>
                <w:color w:val="595959" w:themeColor="text1" w:themeTint="A6"/>
                <w:sz w:val="20"/>
                <w:szCs w:val="20"/>
              </w:rPr>
              <w:t xml:space="preserve"> Harrington and O’Donoghue, 1998</w:t>
            </w:r>
            <w:r>
              <w:rPr>
                <w:rFonts w:ascii="Times New Roman" w:hAnsi="Times New Roman" w:cs="Times New Roman"/>
                <w:color w:val="595959" w:themeColor="text1" w:themeTint="A6"/>
                <w:sz w:val="20"/>
                <w:szCs w:val="20"/>
              </w:rPr>
              <w:t>; Clevland, 1995;</w:t>
            </w:r>
            <w:r w:rsidRPr="00C005F2">
              <w:rPr>
                <w:rFonts w:ascii="Times New Roman" w:hAnsi="Times New Roman" w:cs="Times New Roman"/>
                <w:color w:val="595959" w:themeColor="text1" w:themeTint="A6"/>
                <w:sz w:val="20"/>
                <w:szCs w:val="20"/>
              </w:rPr>
              <w:t xml:space="preserve"> Cloke, 1977</w:t>
            </w:r>
            <w:r>
              <w:rPr>
                <w:rFonts w:ascii="Times New Roman" w:hAnsi="Times New Roman" w:cs="Times New Roman"/>
                <w:color w:val="595959" w:themeColor="text1" w:themeTint="A6"/>
                <w:sz w:val="20"/>
                <w:szCs w:val="20"/>
              </w:rPr>
              <w:t xml:space="preserve">; </w:t>
            </w:r>
            <w:r>
              <w:rPr>
                <w:rFonts w:ascii="Times New Roman" w:hAnsi="Times New Roman" w:cs="Times New Roman"/>
                <w:color w:val="7F7F7F" w:themeColor="text1" w:themeTint="80"/>
                <w:sz w:val="20"/>
                <w:szCs w:val="20"/>
              </w:rPr>
              <w:t>Smith et al. 1973</w:t>
            </w:r>
            <w:r w:rsidRPr="00977D48">
              <w:rPr>
                <w:rFonts w:ascii="Times New Roman" w:hAnsi="Times New Roman" w:cs="Times New Roman"/>
                <w:color w:val="7F7F7F" w:themeColor="text1" w:themeTint="80"/>
                <w:sz w:val="20"/>
                <w:szCs w:val="20"/>
              </w:rPr>
              <w:t>)</w:t>
            </w:r>
          </w:p>
        </w:tc>
        <w:tc>
          <w:tcPr>
            <w:tcW w:w="1260" w:type="dxa"/>
          </w:tcPr>
          <w:p w:rsidR="006A15EA" w:rsidRPr="00EF56B9" w:rsidRDefault="006A15EA" w:rsidP="00FB14AC">
            <w:pPr>
              <w:jc w:val="center"/>
              <w:rPr>
                <w:rFonts w:ascii="Times New Roman" w:hAnsi="Times New Roman" w:cs="Times New Roman"/>
              </w:rPr>
            </w:pPr>
            <w:r w:rsidRPr="00EF56B9">
              <w:rPr>
                <w:rFonts w:ascii="Times New Roman" w:hAnsi="Times New Roman" w:cs="Times New Roman"/>
              </w:rPr>
              <w:t>Positive</w:t>
            </w:r>
          </w:p>
        </w:tc>
        <w:tc>
          <w:tcPr>
            <w:tcW w:w="2303" w:type="dxa"/>
          </w:tcPr>
          <w:p w:rsidR="006A15EA" w:rsidRPr="00EF56B9" w:rsidRDefault="006A15EA" w:rsidP="00FB14AC">
            <w:pPr>
              <w:jc w:val="center"/>
              <w:rPr>
                <w:rFonts w:ascii="Times New Roman" w:hAnsi="Times New Roman" w:cs="Times New Roman"/>
              </w:rPr>
            </w:pPr>
            <w:r>
              <w:rPr>
                <w:rFonts w:ascii="Times New Roman" w:hAnsi="Times New Roman" w:cs="Times New Roman"/>
              </w:rPr>
              <w:t>% of employed male who are engaged in agricultural sectors</w:t>
            </w:r>
          </w:p>
        </w:tc>
      </w:tr>
      <w:tr w:rsidR="006A15EA" w:rsidTr="00FB14AC">
        <w:trPr>
          <w:trHeight w:val="267"/>
        </w:trPr>
        <w:tc>
          <w:tcPr>
            <w:tcW w:w="1345" w:type="dxa"/>
            <w:vMerge/>
          </w:tcPr>
          <w:p w:rsidR="006A15EA" w:rsidRPr="00EF56B9" w:rsidRDefault="006A15EA" w:rsidP="00FB14AC">
            <w:pPr>
              <w:jc w:val="center"/>
              <w:rPr>
                <w:rFonts w:ascii="Times New Roman" w:hAnsi="Times New Roman" w:cs="Times New Roman"/>
              </w:rPr>
            </w:pPr>
          </w:p>
        </w:tc>
        <w:tc>
          <w:tcPr>
            <w:tcW w:w="3240" w:type="dxa"/>
          </w:tcPr>
          <w:p w:rsidR="006A15EA" w:rsidRPr="00EF56B9" w:rsidRDefault="006A15EA" w:rsidP="00FB14AC">
            <w:pPr>
              <w:jc w:val="center"/>
              <w:rPr>
                <w:rFonts w:ascii="Times New Roman" w:hAnsi="Times New Roman" w:cs="Times New Roman"/>
              </w:rPr>
            </w:pPr>
            <w:r w:rsidRPr="00EF56B9">
              <w:rPr>
                <w:rFonts w:ascii="Times New Roman" w:hAnsi="Times New Roman" w:cs="Times New Roman"/>
              </w:rPr>
              <w:t>Agricultural employment female</w:t>
            </w:r>
            <w:r>
              <w:rPr>
                <w:rFonts w:ascii="Times New Roman" w:hAnsi="Times New Roman" w:cs="Times New Roman"/>
              </w:rPr>
              <w:t xml:space="preserve"> </w:t>
            </w:r>
            <w:r w:rsidRPr="00977D48">
              <w:rPr>
                <w:rFonts w:ascii="Times New Roman" w:hAnsi="Times New Roman" w:cs="Times New Roman"/>
                <w:color w:val="7F7F7F" w:themeColor="text1" w:themeTint="80"/>
                <w:sz w:val="20"/>
                <w:szCs w:val="20"/>
              </w:rPr>
              <w:t>(</w:t>
            </w:r>
            <w:r>
              <w:rPr>
                <w:rFonts w:ascii="Times New Roman" w:hAnsi="Times New Roman" w:cs="Times New Roman"/>
                <w:color w:val="7F7F7F" w:themeColor="text1" w:themeTint="80"/>
                <w:sz w:val="20"/>
                <w:szCs w:val="20"/>
              </w:rPr>
              <w:t>Beynon et al. 2016;</w:t>
            </w:r>
            <w:r>
              <w:rPr>
                <w:rFonts w:ascii="Times New Roman" w:hAnsi="Times New Roman" w:cs="Times New Roman"/>
                <w:color w:val="595959" w:themeColor="text1" w:themeTint="A6"/>
                <w:sz w:val="20"/>
                <w:szCs w:val="20"/>
              </w:rPr>
              <w:t xml:space="preserve"> </w:t>
            </w:r>
            <w:r w:rsidRPr="00C005F2">
              <w:rPr>
                <w:rFonts w:ascii="Times New Roman" w:hAnsi="Times New Roman" w:cs="Times New Roman"/>
                <w:bCs/>
                <w:color w:val="595959" w:themeColor="text1" w:themeTint="A6"/>
                <w:spacing w:val="-5"/>
                <w:sz w:val="20"/>
                <w:szCs w:val="20"/>
                <w:shd w:val="clear" w:color="auto" w:fill="FFFFFF"/>
              </w:rPr>
              <w:t>Ocaña-Riola</w:t>
            </w:r>
            <w:r w:rsidRPr="00C005F2">
              <w:rPr>
                <w:rFonts w:ascii="Times New Roman" w:hAnsi="Times New Roman" w:cs="Times New Roman"/>
                <w:color w:val="595959" w:themeColor="text1" w:themeTint="A6"/>
                <w:sz w:val="20"/>
                <w:szCs w:val="20"/>
              </w:rPr>
              <w:t xml:space="preserve"> and </w:t>
            </w:r>
            <w:r w:rsidRPr="00C005F2">
              <w:rPr>
                <w:rFonts w:ascii="Times New Roman" w:hAnsi="Times New Roman" w:cs="Times New Roman"/>
                <w:bCs/>
                <w:color w:val="595959" w:themeColor="text1" w:themeTint="A6"/>
                <w:spacing w:val="-5"/>
                <w:sz w:val="20"/>
                <w:szCs w:val="20"/>
                <w:shd w:val="clear" w:color="auto" w:fill="FFFFFF"/>
              </w:rPr>
              <w:t>Sánchez-Cantalejo, 2005</w:t>
            </w:r>
            <w:r>
              <w:rPr>
                <w:rFonts w:ascii="Times New Roman" w:hAnsi="Times New Roman" w:cs="Times New Roman"/>
                <w:bCs/>
                <w:color w:val="595959" w:themeColor="text1" w:themeTint="A6"/>
                <w:spacing w:val="-5"/>
                <w:sz w:val="20"/>
                <w:szCs w:val="20"/>
                <w:shd w:val="clear" w:color="auto" w:fill="FFFFFF"/>
              </w:rPr>
              <w:t>;</w:t>
            </w:r>
            <w:r w:rsidRPr="00C005F2">
              <w:rPr>
                <w:rFonts w:ascii="Times New Roman" w:hAnsi="Times New Roman" w:cs="Times New Roman"/>
                <w:color w:val="595959" w:themeColor="text1" w:themeTint="A6"/>
                <w:sz w:val="20"/>
                <w:szCs w:val="20"/>
              </w:rPr>
              <w:t xml:space="preserve"> Harrington and O’Donoghue, 1998</w:t>
            </w:r>
            <w:r>
              <w:rPr>
                <w:rFonts w:ascii="Times New Roman" w:hAnsi="Times New Roman" w:cs="Times New Roman"/>
                <w:color w:val="595959" w:themeColor="text1" w:themeTint="A6"/>
                <w:sz w:val="20"/>
                <w:szCs w:val="20"/>
              </w:rPr>
              <w:t>;</w:t>
            </w:r>
            <w:r>
              <w:rPr>
                <w:rFonts w:ascii="Times New Roman" w:hAnsi="Times New Roman" w:cs="Times New Roman"/>
                <w:bCs/>
                <w:color w:val="595959" w:themeColor="text1" w:themeTint="A6"/>
                <w:spacing w:val="-5"/>
                <w:sz w:val="20"/>
                <w:szCs w:val="20"/>
                <w:shd w:val="clear" w:color="auto" w:fill="FFFFFF"/>
              </w:rPr>
              <w:t xml:space="preserve"> </w:t>
            </w:r>
            <w:r>
              <w:rPr>
                <w:rFonts w:ascii="Times New Roman" w:hAnsi="Times New Roman" w:cs="Times New Roman"/>
                <w:color w:val="595959" w:themeColor="text1" w:themeTint="A6"/>
                <w:sz w:val="20"/>
                <w:szCs w:val="20"/>
              </w:rPr>
              <w:t>Clevland, 1995;</w:t>
            </w:r>
            <w:r w:rsidRPr="00C005F2">
              <w:rPr>
                <w:rFonts w:ascii="Times New Roman" w:hAnsi="Times New Roman" w:cs="Times New Roman"/>
                <w:color w:val="595959" w:themeColor="text1" w:themeTint="A6"/>
                <w:sz w:val="20"/>
                <w:szCs w:val="20"/>
              </w:rPr>
              <w:t xml:space="preserve"> Cloke, 1977</w:t>
            </w:r>
            <w:r>
              <w:rPr>
                <w:rFonts w:ascii="Times New Roman" w:hAnsi="Times New Roman" w:cs="Times New Roman"/>
                <w:color w:val="595959" w:themeColor="text1" w:themeTint="A6"/>
                <w:sz w:val="20"/>
                <w:szCs w:val="20"/>
              </w:rPr>
              <w:t>;</w:t>
            </w:r>
            <w:r>
              <w:rPr>
                <w:rFonts w:ascii="Times New Roman" w:hAnsi="Times New Roman" w:cs="Times New Roman"/>
                <w:color w:val="7F7F7F" w:themeColor="text1" w:themeTint="80"/>
                <w:sz w:val="20"/>
                <w:szCs w:val="20"/>
              </w:rPr>
              <w:t xml:space="preserve"> Smith et al. 1973</w:t>
            </w:r>
            <w:r w:rsidRPr="00977D48">
              <w:rPr>
                <w:rFonts w:ascii="Times New Roman" w:hAnsi="Times New Roman" w:cs="Times New Roman"/>
                <w:color w:val="7F7F7F" w:themeColor="text1" w:themeTint="80"/>
                <w:sz w:val="20"/>
                <w:szCs w:val="20"/>
              </w:rPr>
              <w:t>)</w:t>
            </w:r>
          </w:p>
        </w:tc>
        <w:tc>
          <w:tcPr>
            <w:tcW w:w="1260" w:type="dxa"/>
          </w:tcPr>
          <w:p w:rsidR="006A15EA" w:rsidRPr="00EF56B9" w:rsidRDefault="006A15EA" w:rsidP="00FB14AC">
            <w:pPr>
              <w:jc w:val="center"/>
              <w:rPr>
                <w:rFonts w:ascii="Times New Roman" w:hAnsi="Times New Roman" w:cs="Times New Roman"/>
              </w:rPr>
            </w:pPr>
            <w:r w:rsidRPr="00EF56B9">
              <w:rPr>
                <w:rFonts w:ascii="Times New Roman" w:hAnsi="Times New Roman" w:cs="Times New Roman"/>
              </w:rPr>
              <w:t>Positive</w:t>
            </w:r>
          </w:p>
        </w:tc>
        <w:tc>
          <w:tcPr>
            <w:tcW w:w="2303" w:type="dxa"/>
          </w:tcPr>
          <w:p w:rsidR="006A15EA" w:rsidRPr="00EF56B9" w:rsidRDefault="006A15EA" w:rsidP="00FB14AC">
            <w:pPr>
              <w:jc w:val="center"/>
              <w:rPr>
                <w:rFonts w:ascii="Times New Roman" w:hAnsi="Times New Roman" w:cs="Times New Roman"/>
              </w:rPr>
            </w:pPr>
            <w:r>
              <w:rPr>
                <w:rFonts w:ascii="Times New Roman" w:hAnsi="Times New Roman" w:cs="Times New Roman"/>
              </w:rPr>
              <w:t>% of employed female who are engaged in agricultural sectors</w:t>
            </w:r>
          </w:p>
        </w:tc>
      </w:tr>
      <w:tr w:rsidR="006A15EA" w:rsidTr="00FB14AC">
        <w:trPr>
          <w:trHeight w:val="251"/>
        </w:trPr>
        <w:tc>
          <w:tcPr>
            <w:tcW w:w="1345" w:type="dxa"/>
            <w:vMerge/>
          </w:tcPr>
          <w:p w:rsidR="006A15EA" w:rsidRPr="00EF56B9" w:rsidRDefault="006A15EA" w:rsidP="00FB14AC">
            <w:pPr>
              <w:jc w:val="center"/>
              <w:rPr>
                <w:rFonts w:ascii="Times New Roman" w:hAnsi="Times New Roman" w:cs="Times New Roman"/>
              </w:rPr>
            </w:pPr>
          </w:p>
        </w:tc>
        <w:tc>
          <w:tcPr>
            <w:tcW w:w="3240" w:type="dxa"/>
          </w:tcPr>
          <w:p w:rsidR="006A15EA" w:rsidRPr="00EF56B9" w:rsidRDefault="006A15EA" w:rsidP="00FB14AC">
            <w:pPr>
              <w:jc w:val="center"/>
              <w:rPr>
                <w:rFonts w:ascii="Times New Roman" w:hAnsi="Times New Roman" w:cs="Times New Roman"/>
              </w:rPr>
            </w:pPr>
            <w:r w:rsidRPr="00EF56B9">
              <w:rPr>
                <w:rFonts w:ascii="Times New Roman" w:hAnsi="Times New Roman" w:cs="Times New Roman"/>
              </w:rPr>
              <w:t>Industrial employment male</w:t>
            </w:r>
            <w:r>
              <w:rPr>
                <w:rFonts w:ascii="Times New Roman" w:hAnsi="Times New Roman" w:cs="Times New Roman"/>
              </w:rPr>
              <w:t xml:space="preserve"> </w:t>
            </w:r>
            <w:r w:rsidRPr="00BD4257">
              <w:rPr>
                <w:rFonts w:ascii="Times New Roman" w:hAnsi="Times New Roman" w:cs="Times New Roman"/>
                <w:sz w:val="20"/>
                <w:szCs w:val="20"/>
              </w:rPr>
              <w:t>(</w:t>
            </w:r>
            <w:r w:rsidRPr="00BD4257">
              <w:rPr>
                <w:rFonts w:ascii="Times New Roman" w:hAnsi="Times New Roman" w:cs="Times New Roman"/>
                <w:color w:val="7F7F7F" w:themeColor="text1" w:themeTint="80"/>
                <w:sz w:val="20"/>
                <w:szCs w:val="20"/>
              </w:rPr>
              <w:t>Beynon et al. 2016;</w:t>
            </w:r>
            <w:r w:rsidRPr="00BD4257">
              <w:rPr>
                <w:rFonts w:ascii="Times New Roman" w:hAnsi="Times New Roman" w:cs="Times New Roman"/>
                <w:color w:val="595959" w:themeColor="text1" w:themeTint="A6"/>
                <w:sz w:val="20"/>
                <w:szCs w:val="20"/>
              </w:rPr>
              <w:t xml:space="preserve"> Clevland, 1995;</w:t>
            </w:r>
            <w:r w:rsidRPr="00C005F2">
              <w:rPr>
                <w:rFonts w:ascii="Times New Roman" w:hAnsi="Times New Roman" w:cs="Times New Roman"/>
                <w:color w:val="595959" w:themeColor="text1" w:themeTint="A6"/>
                <w:sz w:val="20"/>
                <w:szCs w:val="20"/>
              </w:rPr>
              <w:t xml:space="preserve"> Cloke, 1977</w:t>
            </w:r>
            <w:r>
              <w:rPr>
                <w:rFonts w:ascii="Times New Roman" w:hAnsi="Times New Roman" w:cs="Times New Roman"/>
                <w:color w:val="595959" w:themeColor="text1" w:themeTint="A6"/>
                <w:sz w:val="20"/>
                <w:szCs w:val="20"/>
              </w:rPr>
              <w:t xml:space="preserve">; </w:t>
            </w:r>
            <w:r>
              <w:rPr>
                <w:rFonts w:ascii="Times New Roman" w:hAnsi="Times New Roman" w:cs="Times New Roman"/>
                <w:color w:val="7F7F7F" w:themeColor="text1" w:themeTint="80"/>
                <w:sz w:val="20"/>
                <w:szCs w:val="20"/>
              </w:rPr>
              <w:t>Smith et al. 1973</w:t>
            </w:r>
            <w:r>
              <w:rPr>
                <w:rFonts w:ascii="Times New Roman" w:hAnsi="Times New Roman" w:cs="Times New Roman"/>
              </w:rPr>
              <w:t>)</w:t>
            </w:r>
          </w:p>
        </w:tc>
        <w:tc>
          <w:tcPr>
            <w:tcW w:w="1260" w:type="dxa"/>
          </w:tcPr>
          <w:p w:rsidR="006A15EA" w:rsidRPr="00EF56B9" w:rsidRDefault="006A15EA" w:rsidP="00FB14AC">
            <w:pPr>
              <w:jc w:val="center"/>
              <w:rPr>
                <w:rFonts w:ascii="Times New Roman" w:hAnsi="Times New Roman" w:cs="Times New Roman"/>
              </w:rPr>
            </w:pPr>
            <w:r w:rsidRPr="00EF56B9">
              <w:rPr>
                <w:rFonts w:ascii="Times New Roman" w:hAnsi="Times New Roman" w:cs="Times New Roman"/>
              </w:rPr>
              <w:t>Negative</w:t>
            </w:r>
          </w:p>
        </w:tc>
        <w:tc>
          <w:tcPr>
            <w:tcW w:w="2303" w:type="dxa"/>
          </w:tcPr>
          <w:p w:rsidR="006A15EA" w:rsidRPr="00EF56B9" w:rsidRDefault="006A15EA" w:rsidP="00FB14AC">
            <w:pPr>
              <w:jc w:val="center"/>
              <w:rPr>
                <w:rFonts w:ascii="Times New Roman" w:hAnsi="Times New Roman" w:cs="Times New Roman"/>
              </w:rPr>
            </w:pPr>
            <w:r>
              <w:rPr>
                <w:rFonts w:ascii="Times New Roman" w:hAnsi="Times New Roman" w:cs="Times New Roman"/>
              </w:rPr>
              <w:t>% of employed male who are engaged in industrial sectors</w:t>
            </w:r>
          </w:p>
        </w:tc>
      </w:tr>
      <w:tr w:rsidR="006A15EA" w:rsidTr="00FB14AC">
        <w:trPr>
          <w:trHeight w:val="251"/>
        </w:trPr>
        <w:tc>
          <w:tcPr>
            <w:tcW w:w="1345" w:type="dxa"/>
            <w:vMerge/>
          </w:tcPr>
          <w:p w:rsidR="006A15EA" w:rsidRPr="00EF56B9" w:rsidRDefault="006A15EA" w:rsidP="00FB14AC">
            <w:pPr>
              <w:jc w:val="center"/>
              <w:rPr>
                <w:rFonts w:ascii="Times New Roman" w:hAnsi="Times New Roman" w:cs="Times New Roman"/>
              </w:rPr>
            </w:pPr>
          </w:p>
        </w:tc>
        <w:tc>
          <w:tcPr>
            <w:tcW w:w="3240" w:type="dxa"/>
          </w:tcPr>
          <w:p w:rsidR="006A15EA" w:rsidRPr="00EF56B9" w:rsidRDefault="006A15EA" w:rsidP="00FB14AC">
            <w:pPr>
              <w:jc w:val="center"/>
              <w:rPr>
                <w:rFonts w:ascii="Times New Roman" w:hAnsi="Times New Roman" w:cs="Times New Roman"/>
              </w:rPr>
            </w:pPr>
            <w:r w:rsidRPr="00EF56B9">
              <w:rPr>
                <w:rFonts w:ascii="Times New Roman" w:hAnsi="Times New Roman" w:cs="Times New Roman"/>
              </w:rPr>
              <w:t>Industrial employment female</w:t>
            </w:r>
            <w:r>
              <w:rPr>
                <w:rFonts w:ascii="Times New Roman" w:hAnsi="Times New Roman" w:cs="Times New Roman"/>
              </w:rPr>
              <w:t xml:space="preserve"> (</w:t>
            </w:r>
            <w:r>
              <w:rPr>
                <w:rFonts w:ascii="Times New Roman" w:hAnsi="Times New Roman" w:cs="Times New Roman"/>
                <w:color w:val="7F7F7F" w:themeColor="text1" w:themeTint="80"/>
                <w:sz w:val="20"/>
                <w:szCs w:val="20"/>
              </w:rPr>
              <w:t>Beynon et al. 2016;</w:t>
            </w:r>
            <w:r>
              <w:rPr>
                <w:rFonts w:ascii="Times New Roman" w:hAnsi="Times New Roman" w:cs="Times New Roman"/>
                <w:color w:val="595959" w:themeColor="text1" w:themeTint="A6"/>
                <w:sz w:val="20"/>
                <w:szCs w:val="20"/>
              </w:rPr>
              <w:t xml:space="preserve"> Clevland, 1995;</w:t>
            </w:r>
            <w:r w:rsidRPr="00C005F2">
              <w:rPr>
                <w:rFonts w:ascii="Times New Roman" w:hAnsi="Times New Roman" w:cs="Times New Roman"/>
                <w:color w:val="595959" w:themeColor="text1" w:themeTint="A6"/>
                <w:sz w:val="20"/>
                <w:szCs w:val="20"/>
              </w:rPr>
              <w:t xml:space="preserve"> Cloke, 1977</w:t>
            </w:r>
            <w:r>
              <w:rPr>
                <w:rFonts w:ascii="Times New Roman" w:hAnsi="Times New Roman" w:cs="Times New Roman"/>
                <w:color w:val="595959" w:themeColor="text1" w:themeTint="A6"/>
                <w:sz w:val="20"/>
                <w:szCs w:val="20"/>
              </w:rPr>
              <w:t xml:space="preserve">; </w:t>
            </w:r>
            <w:r>
              <w:rPr>
                <w:rFonts w:ascii="Times New Roman" w:hAnsi="Times New Roman" w:cs="Times New Roman"/>
                <w:color w:val="7F7F7F" w:themeColor="text1" w:themeTint="80"/>
                <w:sz w:val="20"/>
                <w:szCs w:val="20"/>
              </w:rPr>
              <w:t>Smith et al. 1973</w:t>
            </w:r>
            <w:r>
              <w:rPr>
                <w:rFonts w:ascii="Times New Roman" w:hAnsi="Times New Roman" w:cs="Times New Roman"/>
              </w:rPr>
              <w:t>)</w:t>
            </w:r>
          </w:p>
        </w:tc>
        <w:tc>
          <w:tcPr>
            <w:tcW w:w="1260" w:type="dxa"/>
          </w:tcPr>
          <w:p w:rsidR="006A15EA" w:rsidRPr="00EF56B9" w:rsidRDefault="006A15EA" w:rsidP="00FB14AC">
            <w:pPr>
              <w:jc w:val="center"/>
              <w:rPr>
                <w:rFonts w:ascii="Times New Roman" w:hAnsi="Times New Roman" w:cs="Times New Roman"/>
              </w:rPr>
            </w:pPr>
            <w:r w:rsidRPr="00EF56B9">
              <w:rPr>
                <w:rFonts w:ascii="Times New Roman" w:hAnsi="Times New Roman" w:cs="Times New Roman"/>
              </w:rPr>
              <w:t>Negative</w:t>
            </w:r>
          </w:p>
        </w:tc>
        <w:tc>
          <w:tcPr>
            <w:tcW w:w="2303" w:type="dxa"/>
          </w:tcPr>
          <w:p w:rsidR="006A15EA" w:rsidRPr="00EF56B9" w:rsidRDefault="006A15EA" w:rsidP="00FB14AC">
            <w:pPr>
              <w:jc w:val="center"/>
              <w:rPr>
                <w:rFonts w:ascii="Times New Roman" w:hAnsi="Times New Roman" w:cs="Times New Roman"/>
              </w:rPr>
            </w:pPr>
            <w:r>
              <w:rPr>
                <w:rFonts w:ascii="Times New Roman" w:hAnsi="Times New Roman" w:cs="Times New Roman"/>
              </w:rPr>
              <w:t>% of employed female who are engaged in industrial sectors</w:t>
            </w:r>
          </w:p>
        </w:tc>
      </w:tr>
      <w:tr w:rsidR="006A15EA" w:rsidTr="00FB14AC">
        <w:trPr>
          <w:trHeight w:val="251"/>
        </w:trPr>
        <w:tc>
          <w:tcPr>
            <w:tcW w:w="1345" w:type="dxa"/>
            <w:vMerge/>
          </w:tcPr>
          <w:p w:rsidR="006A15EA" w:rsidRPr="00EF56B9" w:rsidRDefault="006A15EA" w:rsidP="00FB14AC">
            <w:pPr>
              <w:jc w:val="center"/>
              <w:rPr>
                <w:rFonts w:ascii="Times New Roman" w:hAnsi="Times New Roman" w:cs="Times New Roman"/>
              </w:rPr>
            </w:pPr>
          </w:p>
        </w:tc>
        <w:tc>
          <w:tcPr>
            <w:tcW w:w="3240" w:type="dxa"/>
          </w:tcPr>
          <w:p w:rsidR="006A15EA" w:rsidRPr="00EF56B9" w:rsidRDefault="006A15EA" w:rsidP="00FB14AC">
            <w:pPr>
              <w:jc w:val="center"/>
              <w:rPr>
                <w:rFonts w:ascii="Times New Roman" w:hAnsi="Times New Roman" w:cs="Times New Roman"/>
              </w:rPr>
            </w:pPr>
            <w:r w:rsidRPr="00EF56B9">
              <w:rPr>
                <w:rFonts w:ascii="Times New Roman" w:hAnsi="Times New Roman" w:cs="Times New Roman"/>
              </w:rPr>
              <w:t>Service employment male</w:t>
            </w:r>
            <w:r>
              <w:rPr>
                <w:rFonts w:ascii="Times New Roman" w:hAnsi="Times New Roman" w:cs="Times New Roman"/>
              </w:rPr>
              <w:t xml:space="preserve"> </w:t>
            </w:r>
            <w:r w:rsidRPr="00977D48">
              <w:rPr>
                <w:rFonts w:ascii="Times New Roman" w:hAnsi="Times New Roman" w:cs="Times New Roman"/>
                <w:color w:val="7F7F7F" w:themeColor="text1" w:themeTint="80"/>
                <w:sz w:val="20"/>
                <w:szCs w:val="20"/>
              </w:rPr>
              <w:t>(</w:t>
            </w:r>
            <w:r>
              <w:rPr>
                <w:rFonts w:ascii="Times New Roman" w:hAnsi="Times New Roman" w:cs="Times New Roman"/>
                <w:color w:val="7F7F7F" w:themeColor="text1" w:themeTint="80"/>
                <w:sz w:val="20"/>
                <w:szCs w:val="20"/>
              </w:rPr>
              <w:t>Beynon et al. 2016;</w:t>
            </w:r>
            <w:r>
              <w:rPr>
                <w:rFonts w:ascii="Times New Roman" w:hAnsi="Times New Roman" w:cs="Times New Roman"/>
                <w:color w:val="595959" w:themeColor="text1" w:themeTint="A6"/>
                <w:sz w:val="20"/>
                <w:szCs w:val="20"/>
              </w:rPr>
              <w:t xml:space="preserve"> Clevland, 1995;</w:t>
            </w:r>
            <w:r>
              <w:rPr>
                <w:rFonts w:ascii="Times New Roman" w:hAnsi="Times New Roman" w:cs="Times New Roman"/>
                <w:color w:val="7F7F7F" w:themeColor="text1" w:themeTint="80"/>
                <w:sz w:val="20"/>
                <w:szCs w:val="20"/>
              </w:rPr>
              <w:t xml:space="preserve"> Smith et al. 1973; </w:t>
            </w:r>
            <w:r w:rsidRPr="00977D48">
              <w:rPr>
                <w:rFonts w:ascii="Times New Roman" w:hAnsi="Times New Roman" w:cs="Times New Roman"/>
                <w:color w:val="7F7F7F" w:themeColor="text1" w:themeTint="80"/>
                <w:sz w:val="20"/>
                <w:szCs w:val="20"/>
              </w:rPr>
              <w:t>)</w:t>
            </w:r>
          </w:p>
        </w:tc>
        <w:tc>
          <w:tcPr>
            <w:tcW w:w="1260" w:type="dxa"/>
          </w:tcPr>
          <w:p w:rsidR="006A15EA" w:rsidRPr="00EF56B9" w:rsidRDefault="006A15EA" w:rsidP="00FB14AC">
            <w:pPr>
              <w:jc w:val="center"/>
              <w:rPr>
                <w:rFonts w:ascii="Times New Roman" w:hAnsi="Times New Roman" w:cs="Times New Roman"/>
              </w:rPr>
            </w:pPr>
            <w:r w:rsidRPr="00EF56B9">
              <w:rPr>
                <w:rFonts w:ascii="Times New Roman" w:hAnsi="Times New Roman" w:cs="Times New Roman"/>
              </w:rPr>
              <w:t>Negative</w:t>
            </w:r>
          </w:p>
        </w:tc>
        <w:tc>
          <w:tcPr>
            <w:tcW w:w="2303" w:type="dxa"/>
          </w:tcPr>
          <w:p w:rsidR="006A15EA" w:rsidRPr="00EF56B9" w:rsidRDefault="006A15EA" w:rsidP="00FB14AC">
            <w:pPr>
              <w:jc w:val="center"/>
              <w:rPr>
                <w:rFonts w:ascii="Times New Roman" w:hAnsi="Times New Roman" w:cs="Times New Roman"/>
              </w:rPr>
            </w:pPr>
            <w:r>
              <w:rPr>
                <w:rFonts w:ascii="Times New Roman" w:hAnsi="Times New Roman" w:cs="Times New Roman"/>
              </w:rPr>
              <w:t>% of employed male who are engaged in service sectors</w:t>
            </w:r>
          </w:p>
        </w:tc>
      </w:tr>
      <w:tr w:rsidR="006A15EA" w:rsidTr="00FB14AC">
        <w:trPr>
          <w:trHeight w:val="251"/>
        </w:trPr>
        <w:tc>
          <w:tcPr>
            <w:tcW w:w="1345" w:type="dxa"/>
            <w:vMerge/>
          </w:tcPr>
          <w:p w:rsidR="006A15EA" w:rsidRPr="00EF56B9" w:rsidRDefault="006A15EA" w:rsidP="00FB14AC">
            <w:pPr>
              <w:jc w:val="center"/>
              <w:rPr>
                <w:rFonts w:ascii="Times New Roman" w:hAnsi="Times New Roman" w:cs="Times New Roman"/>
              </w:rPr>
            </w:pPr>
          </w:p>
        </w:tc>
        <w:tc>
          <w:tcPr>
            <w:tcW w:w="3240" w:type="dxa"/>
          </w:tcPr>
          <w:p w:rsidR="006A15EA" w:rsidRPr="00EF56B9" w:rsidRDefault="006A15EA" w:rsidP="00FB14AC">
            <w:pPr>
              <w:jc w:val="center"/>
              <w:rPr>
                <w:rFonts w:ascii="Times New Roman" w:hAnsi="Times New Roman" w:cs="Times New Roman"/>
              </w:rPr>
            </w:pPr>
            <w:r w:rsidRPr="00EF56B9">
              <w:rPr>
                <w:rFonts w:ascii="Times New Roman" w:hAnsi="Times New Roman" w:cs="Times New Roman"/>
              </w:rPr>
              <w:t>Service employment female</w:t>
            </w:r>
            <w:r>
              <w:rPr>
                <w:rFonts w:ascii="Times New Roman" w:hAnsi="Times New Roman" w:cs="Times New Roman"/>
              </w:rPr>
              <w:t xml:space="preserve"> </w:t>
            </w:r>
            <w:r w:rsidRPr="00977D48">
              <w:rPr>
                <w:rFonts w:ascii="Times New Roman" w:hAnsi="Times New Roman" w:cs="Times New Roman"/>
                <w:color w:val="7F7F7F" w:themeColor="text1" w:themeTint="80"/>
                <w:sz w:val="20"/>
                <w:szCs w:val="20"/>
              </w:rPr>
              <w:t>(</w:t>
            </w:r>
            <w:r>
              <w:rPr>
                <w:rFonts w:ascii="Times New Roman" w:hAnsi="Times New Roman" w:cs="Times New Roman"/>
                <w:color w:val="7F7F7F" w:themeColor="text1" w:themeTint="80"/>
                <w:sz w:val="20"/>
                <w:szCs w:val="20"/>
              </w:rPr>
              <w:t>Beynon et al. 2016;</w:t>
            </w:r>
            <w:r>
              <w:rPr>
                <w:rFonts w:ascii="Times New Roman" w:hAnsi="Times New Roman" w:cs="Times New Roman"/>
                <w:color w:val="595959" w:themeColor="text1" w:themeTint="A6"/>
                <w:sz w:val="20"/>
                <w:szCs w:val="20"/>
              </w:rPr>
              <w:t xml:space="preserve"> Clevland, 1995;</w:t>
            </w:r>
            <w:r>
              <w:rPr>
                <w:rFonts w:ascii="Times New Roman" w:hAnsi="Times New Roman" w:cs="Times New Roman"/>
                <w:color w:val="7F7F7F" w:themeColor="text1" w:themeTint="80"/>
                <w:sz w:val="20"/>
                <w:szCs w:val="20"/>
              </w:rPr>
              <w:t xml:space="preserve"> Smith et al. 1973; </w:t>
            </w:r>
            <w:r w:rsidRPr="00977D48">
              <w:rPr>
                <w:rFonts w:ascii="Times New Roman" w:hAnsi="Times New Roman" w:cs="Times New Roman"/>
                <w:color w:val="7F7F7F" w:themeColor="text1" w:themeTint="80"/>
                <w:sz w:val="20"/>
                <w:szCs w:val="20"/>
              </w:rPr>
              <w:t>)</w:t>
            </w:r>
          </w:p>
        </w:tc>
        <w:tc>
          <w:tcPr>
            <w:tcW w:w="1260" w:type="dxa"/>
          </w:tcPr>
          <w:p w:rsidR="006A15EA" w:rsidRPr="00EF56B9" w:rsidRDefault="006A15EA" w:rsidP="00FB14AC">
            <w:pPr>
              <w:jc w:val="center"/>
              <w:rPr>
                <w:rFonts w:ascii="Times New Roman" w:hAnsi="Times New Roman" w:cs="Times New Roman"/>
              </w:rPr>
            </w:pPr>
            <w:r w:rsidRPr="00EF56B9">
              <w:rPr>
                <w:rFonts w:ascii="Times New Roman" w:hAnsi="Times New Roman" w:cs="Times New Roman"/>
              </w:rPr>
              <w:t>Negative</w:t>
            </w:r>
          </w:p>
        </w:tc>
        <w:tc>
          <w:tcPr>
            <w:tcW w:w="2303" w:type="dxa"/>
          </w:tcPr>
          <w:p w:rsidR="006A15EA" w:rsidRPr="00EF56B9" w:rsidRDefault="006A15EA" w:rsidP="00FB14AC">
            <w:pPr>
              <w:jc w:val="center"/>
              <w:rPr>
                <w:rFonts w:ascii="Times New Roman" w:hAnsi="Times New Roman" w:cs="Times New Roman"/>
              </w:rPr>
            </w:pPr>
            <w:r>
              <w:rPr>
                <w:rFonts w:ascii="Times New Roman" w:hAnsi="Times New Roman" w:cs="Times New Roman"/>
              </w:rPr>
              <w:t>% of employed female who are engaged in service sectors</w:t>
            </w:r>
          </w:p>
        </w:tc>
      </w:tr>
    </w:tbl>
    <w:p w:rsidR="00304AF7" w:rsidRDefault="00304AF7" w:rsidP="00304AF7">
      <w:pPr>
        <w:jc w:val="center"/>
        <w:rPr>
          <w:sz w:val="22"/>
        </w:rPr>
      </w:pPr>
      <w:r>
        <w:rPr>
          <w:sz w:val="22"/>
        </w:rPr>
        <w:t>Source: Authors’ compilation based on literature review and expert views</w:t>
      </w:r>
    </w:p>
    <w:p w:rsidR="00B374E0" w:rsidRDefault="00B374E0" w:rsidP="00B374E0">
      <w:pPr>
        <w:rPr>
          <w:szCs w:val="24"/>
        </w:rPr>
      </w:pPr>
      <w:r>
        <w:rPr>
          <w:szCs w:val="24"/>
        </w:rPr>
        <w:t xml:space="preserve">It is worthy of mentioning that apart from most of the literature </w:t>
      </w:r>
      <w:r w:rsidR="00670C11">
        <w:rPr>
          <w:szCs w:val="24"/>
        </w:rPr>
        <w:t>on rurality and rural characterization</w:t>
      </w:r>
      <w:r>
        <w:rPr>
          <w:szCs w:val="24"/>
        </w:rPr>
        <w:t>, we have considered gender sensitive variables exclusively for both of male and female groups in our analysis. Pragmatically, the role of female signific</w:t>
      </w:r>
      <w:r w:rsidR="008D74DB">
        <w:rPr>
          <w:szCs w:val="24"/>
        </w:rPr>
        <w:t>antly differs in rural and non-rural</w:t>
      </w:r>
      <w:r>
        <w:rPr>
          <w:szCs w:val="24"/>
        </w:rPr>
        <w:t xml:space="preserve"> contexts in Bangladesh. Therefore, distinct consideration of both of male and female gender groups in the study was of practical importance.</w:t>
      </w:r>
    </w:p>
    <w:p w:rsidR="00E307D7" w:rsidRDefault="00E307D7" w:rsidP="00E307D7">
      <w:pPr>
        <w:pStyle w:val="Heading3"/>
        <w:numPr>
          <w:ilvl w:val="2"/>
          <w:numId w:val="8"/>
        </w:numPr>
        <w:rPr>
          <w:rFonts w:ascii="Times New Roman" w:hAnsi="Times New Roman" w:cs="Times New Roman"/>
          <w:color w:val="auto"/>
        </w:rPr>
      </w:pPr>
      <w:r>
        <w:rPr>
          <w:rFonts w:ascii="Times New Roman" w:hAnsi="Times New Roman" w:cs="Times New Roman"/>
          <w:color w:val="auto"/>
        </w:rPr>
        <w:lastRenderedPageBreak/>
        <w:t>Summarizing Analysis Methodology</w:t>
      </w:r>
    </w:p>
    <w:p w:rsidR="0051024D" w:rsidRPr="00B604F8" w:rsidRDefault="0051024D" w:rsidP="0051024D">
      <w:pPr>
        <w:rPr>
          <w:rFonts w:cs="Times New Roman"/>
          <w:szCs w:val="24"/>
        </w:rPr>
      </w:pPr>
      <w:r>
        <w:rPr>
          <w:rFonts w:cs="Times New Roman"/>
          <w:szCs w:val="24"/>
        </w:rPr>
        <w:t>We have adopted</w:t>
      </w:r>
      <w:r w:rsidR="00713CE5">
        <w:rPr>
          <w:rFonts w:cs="Times New Roman"/>
          <w:szCs w:val="24"/>
        </w:rPr>
        <w:t xml:space="preserve"> a </w:t>
      </w:r>
      <w:r w:rsidR="00713CE5" w:rsidRPr="00713CE5">
        <w:rPr>
          <w:rFonts w:cs="Times New Roman"/>
          <w:szCs w:val="24"/>
        </w:rPr>
        <w:t>rurality indexing methodology to perform this study utilizing Bangladesh population and census data derived from BBS.</w:t>
      </w:r>
      <w:r>
        <w:rPr>
          <w:rFonts w:cs="Times New Roman"/>
          <w:szCs w:val="24"/>
        </w:rPr>
        <w:t xml:space="preserve"> </w:t>
      </w:r>
      <w:r w:rsidRPr="00B604F8">
        <w:rPr>
          <w:rFonts w:cs="Times New Roman"/>
          <w:szCs w:val="24"/>
        </w:rPr>
        <w:t xml:space="preserve">In this process, at first, all the data of the respective indicators that have been adopted (see </w:t>
      </w:r>
      <w:hyperlink w:anchor="_Table_3:_Dimensions" w:history="1">
        <w:r w:rsidRPr="000E2B78">
          <w:rPr>
            <w:rStyle w:val="Hyperlink"/>
            <w:rFonts w:cs="Times New Roman"/>
            <w:color w:val="auto"/>
            <w:szCs w:val="24"/>
            <w:u w:val="none"/>
          </w:rPr>
          <w:t>Table 3</w:t>
        </w:r>
      </w:hyperlink>
      <w:r w:rsidRPr="00B604F8">
        <w:rPr>
          <w:rFonts w:cs="Times New Roman"/>
          <w:szCs w:val="24"/>
        </w:rPr>
        <w:t xml:space="preserve">) in conducting the analysis, </w:t>
      </w:r>
      <w:r>
        <w:rPr>
          <w:rFonts w:cs="Times New Roman"/>
          <w:szCs w:val="24"/>
        </w:rPr>
        <w:t xml:space="preserve">have been standardized </w:t>
      </w:r>
      <w:r w:rsidRPr="00B604F8">
        <w:rPr>
          <w:rFonts w:cs="Times New Roman"/>
          <w:szCs w:val="24"/>
        </w:rPr>
        <w:t>utilizing normalize indexi</w:t>
      </w:r>
      <w:r>
        <w:rPr>
          <w:rFonts w:cs="Times New Roman"/>
          <w:szCs w:val="24"/>
        </w:rPr>
        <w:t>ng methodology as it is important to transform the indicators of different measurement scales into a common index for meaningful analysis</w:t>
      </w:r>
      <w:r w:rsidRPr="00B604F8">
        <w:rPr>
          <w:rFonts w:cs="Times New Roman"/>
          <w:szCs w:val="24"/>
        </w:rPr>
        <w:t>. The equations (see Equation (1) and Equation (2</w:t>
      </w:r>
      <w:r>
        <w:rPr>
          <w:rFonts w:cs="Times New Roman"/>
          <w:szCs w:val="24"/>
        </w:rPr>
        <w:t xml:space="preserve">)) used for this normalization were primarily grounded for </w:t>
      </w:r>
      <w:r w:rsidRPr="00B604F8">
        <w:rPr>
          <w:rFonts w:cs="Times New Roman"/>
          <w:szCs w:val="24"/>
        </w:rPr>
        <w:t>HDI (Human Devel</w:t>
      </w:r>
      <w:r>
        <w:rPr>
          <w:rFonts w:cs="Times New Roman"/>
          <w:szCs w:val="24"/>
        </w:rPr>
        <w:t xml:space="preserve">opment index) </w:t>
      </w:r>
      <w:r w:rsidRPr="009B2DAD">
        <w:rPr>
          <w:rFonts w:cs="Times New Roman"/>
          <w:szCs w:val="24"/>
        </w:rPr>
        <w:t xml:space="preserve">(Hamim et al. 2020; UNDP, 2007) </w:t>
      </w:r>
      <w:r>
        <w:rPr>
          <w:rFonts w:cs="Times New Roman"/>
          <w:szCs w:val="24"/>
        </w:rPr>
        <w:t xml:space="preserve">for measuring life expectancy and afterward, it has been adopted widely for calculation of other indices including LVI (Livelihood Vulnerability Index) (Opiyo et al. 2014; Anti-Agyei et al. 2012; Hahn et al. 2009) and RI (Resilience Index) (Asmamaw et al. 2019). </w:t>
      </w:r>
      <w:r w:rsidRPr="00B604F8">
        <w:rPr>
          <w:rFonts w:cs="Times New Roman"/>
          <w:szCs w:val="24"/>
        </w:rPr>
        <w:t xml:space="preserve">Equation (1) has been used for the normalization of the indicators that have positive functional relationship with rurality (see </w:t>
      </w:r>
      <w:hyperlink w:anchor="_Table_3:_Dimensions" w:history="1">
        <w:r w:rsidR="00DB4E7E" w:rsidRPr="00DB4E7E">
          <w:rPr>
            <w:rStyle w:val="Hyperlink"/>
            <w:rFonts w:cs="Times New Roman"/>
            <w:color w:val="auto"/>
            <w:szCs w:val="24"/>
            <w:u w:val="none"/>
          </w:rPr>
          <w:t>Table 3</w:t>
        </w:r>
      </w:hyperlink>
      <w:r w:rsidRPr="00B604F8">
        <w:rPr>
          <w:rFonts w:cs="Times New Roman"/>
          <w:szCs w:val="24"/>
        </w:rPr>
        <w:t>) whereas the indicators that have negative relationship with rurality such as male a</w:t>
      </w:r>
      <w:r w:rsidR="00BF5A16">
        <w:rPr>
          <w:rFonts w:cs="Times New Roman"/>
          <w:szCs w:val="24"/>
        </w:rPr>
        <w:t xml:space="preserve">nd female literacy </w:t>
      </w:r>
      <w:r w:rsidRPr="00B604F8">
        <w:rPr>
          <w:rFonts w:cs="Times New Roman"/>
          <w:szCs w:val="24"/>
        </w:rPr>
        <w:t xml:space="preserve">etc. (see </w:t>
      </w:r>
      <w:hyperlink w:anchor="_Table_3:_Dimensions" w:history="1">
        <w:r w:rsidR="00DB4E7E" w:rsidRPr="00DB4E7E">
          <w:rPr>
            <w:rStyle w:val="Hyperlink"/>
            <w:rFonts w:cs="Times New Roman"/>
            <w:color w:val="auto"/>
            <w:szCs w:val="24"/>
            <w:u w:val="none"/>
          </w:rPr>
          <w:t>Table 3</w:t>
        </w:r>
      </w:hyperlink>
      <w:r w:rsidRPr="00B604F8">
        <w:rPr>
          <w:rFonts w:cs="Times New Roman"/>
          <w:szCs w:val="24"/>
        </w:rPr>
        <w:t>) have been normalized using Equation (2).</w:t>
      </w:r>
    </w:p>
    <w:p w:rsidR="0051024D" w:rsidRPr="00B604F8" w:rsidRDefault="0051024D" w:rsidP="0051024D">
      <w:pPr>
        <w:jc w:val="center"/>
        <w:rPr>
          <w:rFonts w:eastAsiaTheme="minorEastAsia" w:cs="Times New Roman"/>
          <w:szCs w:val="24"/>
        </w:rPr>
      </w:pPr>
      <m:oMath>
        <m:r>
          <w:rPr>
            <w:rFonts w:ascii="Cambria Math" w:hAnsi="Cambria Math" w:cs="Times New Roman"/>
            <w:sz w:val="28"/>
            <w:szCs w:val="28"/>
          </w:rPr>
          <m:t xml:space="preserve">Index </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s</m:t>
            </m:r>
          </m:sub>
        </m:sSub>
        <m:r>
          <w:rPr>
            <w:rFonts w:ascii="Cambria Math" w:eastAsiaTheme="minorEastAsia" w:hAnsi="Cambria Math" w:cs="Times New Roman"/>
            <w:sz w:val="28"/>
            <w:szCs w:val="28"/>
          </w:rPr>
          <m:t xml:space="preserve">= </m:t>
        </m:r>
        <m:f>
          <m:fPr>
            <m:ctrlPr>
              <w:rPr>
                <w:rFonts w:ascii="Cambria Math" w:eastAsiaTheme="minorEastAsia" w:hAnsi="Cambria Math" w:cs="Times New Roman"/>
                <w:i/>
                <w:sz w:val="28"/>
                <w:szCs w:val="28"/>
              </w:rPr>
            </m:ctrlPr>
          </m:fPr>
          <m:num>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s</m:t>
                </m:r>
              </m:sub>
            </m:sSub>
            <m:r>
              <w:rPr>
                <w:rFonts w:ascii="Cambria Math" w:eastAsiaTheme="minorEastAsia" w:hAnsi="Cambria Math" w:cs="Times New Roman"/>
                <w:sz w:val="28"/>
                <w:szCs w:val="28"/>
              </w:rPr>
              <m:t>-</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min</m:t>
                </m:r>
              </m:sub>
            </m:sSub>
          </m:num>
          <m:den>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max</m:t>
                </m:r>
              </m:sub>
            </m:sSub>
            <m:r>
              <w:rPr>
                <w:rFonts w:ascii="Cambria Math" w:eastAsiaTheme="minorEastAsia" w:hAnsi="Cambria Math" w:cs="Times New Roman"/>
                <w:sz w:val="28"/>
                <w:szCs w:val="28"/>
              </w:rPr>
              <m:t>-</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min</m:t>
                </m:r>
              </m:sub>
            </m:sSub>
          </m:den>
        </m:f>
      </m:oMath>
      <w:r w:rsidRPr="00B604F8">
        <w:rPr>
          <w:rFonts w:eastAsiaTheme="minorEastAsia" w:cs="Times New Roman"/>
          <w:szCs w:val="24"/>
        </w:rPr>
        <w:t>………………………………… (1)</w:t>
      </w:r>
    </w:p>
    <w:p w:rsidR="0051024D" w:rsidRPr="00B604F8" w:rsidRDefault="0051024D" w:rsidP="0051024D">
      <w:pPr>
        <w:jc w:val="center"/>
        <w:rPr>
          <w:rFonts w:eastAsiaTheme="minorEastAsia" w:cs="Times New Roman"/>
          <w:szCs w:val="24"/>
        </w:rPr>
      </w:pPr>
      <m:oMath>
        <m:r>
          <w:rPr>
            <w:rFonts w:ascii="Cambria Math" w:hAnsi="Cambria Math" w:cs="Times New Roman"/>
            <w:sz w:val="28"/>
            <w:szCs w:val="28"/>
          </w:rPr>
          <m:t xml:space="preserve">Index </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S</m:t>
            </m:r>
          </m:sub>
        </m:sSub>
        <m:r>
          <w:rPr>
            <w:rFonts w:ascii="Cambria Math" w:hAnsi="Cambria Math" w:cs="Times New Roman"/>
            <w:sz w:val="28"/>
            <w:szCs w:val="28"/>
          </w:rPr>
          <m:t xml:space="preserve">= </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 xml:space="preserve">max </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s</m:t>
                </m:r>
              </m:sub>
            </m:sSub>
          </m:num>
          <m:den>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max</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min</m:t>
                </m:r>
              </m:sub>
            </m:sSub>
          </m:den>
        </m:f>
      </m:oMath>
      <w:r w:rsidRPr="00B604F8">
        <w:rPr>
          <w:rFonts w:eastAsiaTheme="minorEastAsia" w:cs="Times New Roman"/>
          <w:szCs w:val="24"/>
        </w:rPr>
        <w:t>…………………………………. (2)</w:t>
      </w:r>
    </w:p>
    <w:p w:rsidR="0051024D" w:rsidRDefault="0051024D" w:rsidP="0051024D">
      <w:pPr>
        <w:rPr>
          <w:rFonts w:eastAsiaTheme="minorEastAsia" w:cs="Times New Roman"/>
          <w:szCs w:val="24"/>
        </w:rPr>
      </w:pPr>
      <w:r w:rsidRPr="00B604F8">
        <w:rPr>
          <w:rFonts w:eastAsiaTheme="minorEastAsia" w:cs="Times New Roman"/>
          <w:szCs w:val="24"/>
        </w:rPr>
        <w:t xml:space="preserve">where, </w:t>
      </w:r>
      <w:r w:rsidRPr="00B604F8">
        <w:rPr>
          <w:rFonts w:eastAsiaTheme="minorEastAsia" w:cs="Times New Roman"/>
          <w:b/>
          <w:i/>
          <w:szCs w:val="24"/>
        </w:rPr>
        <w:t>Index Xs</w:t>
      </w:r>
      <w:r w:rsidRPr="00B604F8">
        <w:rPr>
          <w:rFonts w:eastAsiaTheme="minorEastAsia" w:cs="Times New Roman"/>
          <w:szCs w:val="24"/>
        </w:rPr>
        <w:t xml:space="preserve"> is the normalized index value and </w:t>
      </w:r>
      <w:r w:rsidRPr="00B604F8">
        <w:rPr>
          <w:rFonts w:eastAsiaTheme="minorEastAsia" w:cs="Times New Roman"/>
          <w:b/>
          <w:i/>
          <w:szCs w:val="24"/>
        </w:rPr>
        <w:t>Xs</w:t>
      </w:r>
      <w:r w:rsidRPr="00B604F8">
        <w:rPr>
          <w:rFonts w:eastAsiaTheme="minorEastAsia" w:cs="Times New Roman"/>
          <w:b/>
          <w:szCs w:val="24"/>
        </w:rPr>
        <w:t xml:space="preserve"> </w:t>
      </w:r>
      <w:r w:rsidRPr="00B604F8">
        <w:rPr>
          <w:rFonts w:eastAsiaTheme="minorEastAsia" w:cs="Times New Roman"/>
          <w:szCs w:val="24"/>
        </w:rPr>
        <w:t xml:space="preserve">is the original value of the indicator for Union </w:t>
      </w:r>
      <w:r w:rsidRPr="00B604F8">
        <w:rPr>
          <w:rFonts w:eastAsiaTheme="minorEastAsia" w:cs="Times New Roman"/>
          <w:b/>
          <w:i/>
          <w:szCs w:val="24"/>
        </w:rPr>
        <w:t>S</w:t>
      </w:r>
      <w:r w:rsidRPr="00B604F8">
        <w:rPr>
          <w:rFonts w:eastAsiaTheme="minorEastAsia" w:cs="Times New Roman"/>
          <w:i/>
          <w:szCs w:val="24"/>
        </w:rPr>
        <w:t xml:space="preserve">, </w:t>
      </w:r>
      <w:r w:rsidRPr="00B604F8">
        <w:rPr>
          <w:rFonts w:eastAsiaTheme="minorEastAsia" w:cs="Times New Roman"/>
          <w:b/>
          <w:i/>
          <w:szCs w:val="24"/>
        </w:rPr>
        <w:t>Xmin</w:t>
      </w:r>
      <w:r w:rsidRPr="00B604F8">
        <w:rPr>
          <w:rFonts w:eastAsiaTheme="minorEastAsia" w:cs="Times New Roman"/>
          <w:i/>
          <w:szCs w:val="24"/>
        </w:rPr>
        <w:t xml:space="preserve"> </w:t>
      </w:r>
      <w:r w:rsidRPr="00B604F8">
        <w:rPr>
          <w:rFonts w:eastAsiaTheme="minorEastAsia" w:cs="Times New Roman"/>
          <w:szCs w:val="24"/>
        </w:rPr>
        <w:t xml:space="preserve">and </w:t>
      </w:r>
      <w:r w:rsidRPr="00B604F8">
        <w:rPr>
          <w:rFonts w:eastAsiaTheme="minorEastAsia" w:cs="Times New Roman"/>
          <w:b/>
          <w:i/>
          <w:szCs w:val="24"/>
        </w:rPr>
        <w:t>Xmax</w:t>
      </w:r>
      <w:r w:rsidRPr="00B604F8">
        <w:rPr>
          <w:rFonts w:eastAsiaTheme="minorEastAsia" w:cs="Times New Roman"/>
          <w:i/>
          <w:szCs w:val="24"/>
        </w:rPr>
        <w:t xml:space="preserve"> </w:t>
      </w:r>
      <w:r w:rsidRPr="00B604F8">
        <w:rPr>
          <w:rFonts w:eastAsiaTheme="minorEastAsia" w:cs="Times New Roman"/>
          <w:szCs w:val="24"/>
        </w:rPr>
        <w:t>are the minimum and maximum values of the indicator at the ‘Union’ level.</w:t>
      </w:r>
      <w:r>
        <w:rPr>
          <w:rFonts w:eastAsiaTheme="minorEastAsia" w:cs="Times New Roman"/>
          <w:szCs w:val="24"/>
        </w:rPr>
        <w:t xml:space="preserve"> A principal component analysis (PCA) based on the twenty indicators listed in </w:t>
      </w:r>
      <w:hyperlink w:anchor="_Table_3:_Dimensions" w:history="1">
        <w:r w:rsidR="001F38AF" w:rsidRPr="001F38AF">
          <w:rPr>
            <w:rStyle w:val="Hyperlink"/>
            <w:rFonts w:eastAsiaTheme="minorEastAsia" w:cs="Times New Roman"/>
            <w:color w:val="auto"/>
            <w:szCs w:val="24"/>
            <w:u w:val="none"/>
          </w:rPr>
          <w:t>Table 3</w:t>
        </w:r>
      </w:hyperlink>
      <w:r>
        <w:rPr>
          <w:rFonts w:eastAsiaTheme="minorEastAsia" w:cs="Times New Roman"/>
          <w:szCs w:val="24"/>
        </w:rPr>
        <w:t xml:space="preserve"> has been then carried out with oblique rotation (i.e., </w:t>
      </w:r>
      <w:r>
        <w:rPr>
          <w:rFonts w:eastAsiaTheme="minorEastAsia" w:cs="Times New Roman"/>
          <w:szCs w:val="24"/>
        </w:rPr>
        <w:lastRenderedPageBreak/>
        <w:t xml:space="preserve">oblimin with Kaiser normalization). The PCA analysis was intended to be employed for producing the loading scores for each of the variables (see </w:t>
      </w:r>
      <w:hyperlink w:anchor="_Table_4:_Loadings" w:history="1">
        <w:r w:rsidR="00F82161" w:rsidRPr="00001723">
          <w:rPr>
            <w:rStyle w:val="Hyperlink"/>
            <w:rFonts w:eastAsiaTheme="minorEastAsia" w:cs="Times New Roman"/>
            <w:color w:val="auto"/>
            <w:szCs w:val="24"/>
            <w:u w:val="none"/>
          </w:rPr>
          <w:t>Table 4</w:t>
        </w:r>
      </w:hyperlink>
      <w:r>
        <w:rPr>
          <w:rFonts w:eastAsiaTheme="minorEastAsia" w:cs="Times New Roman"/>
          <w:szCs w:val="24"/>
        </w:rPr>
        <w:t>) adopted for rurality index.</w:t>
      </w:r>
    </w:p>
    <w:p w:rsidR="009A0590" w:rsidRDefault="009A0590" w:rsidP="009A0590">
      <w:pPr>
        <w:pStyle w:val="Heading4"/>
        <w:spacing w:line="240" w:lineRule="auto"/>
        <w:jc w:val="center"/>
        <w:rPr>
          <w:rFonts w:ascii="Times New Roman" w:eastAsiaTheme="minorEastAsia" w:hAnsi="Times New Roman" w:cs="Times New Roman"/>
          <w:i w:val="0"/>
          <w:color w:val="auto"/>
        </w:rPr>
      </w:pPr>
      <w:bookmarkStart w:id="5" w:name="_Table_4:_Loadings"/>
      <w:bookmarkEnd w:id="5"/>
      <w:r>
        <w:rPr>
          <w:rFonts w:ascii="Times New Roman" w:eastAsiaTheme="minorEastAsia" w:hAnsi="Times New Roman" w:cs="Times New Roman"/>
          <w:i w:val="0"/>
          <w:color w:val="auto"/>
        </w:rPr>
        <w:t>Table 4: Loadings of the indicators produced from the six-factor model of PCA</w:t>
      </w:r>
    </w:p>
    <w:tbl>
      <w:tblPr>
        <w:tblStyle w:val="TableGrid"/>
        <w:tblpPr w:leftFromText="180" w:rightFromText="180" w:vertAnchor="text" w:horzAnchor="margin" w:tblpY="92"/>
        <w:tblW w:w="8078" w:type="dxa"/>
        <w:tblLook w:val="04A0" w:firstRow="1" w:lastRow="0" w:firstColumn="1" w:lastColumn="0" w:noHBand="0" w:noVBand="1"/>
      </w:tblPr>
      <w:tblGrid>
        <w:gridCol w:w="3217"/>
        <w:gridCol w:w="805"/>
        <w:gridCol w:w="805"/>
        <w:gridCol w:w="805"/>
        <w:gridCol w:w="761"/>
        <w:gridCol w:w="849"/>
        <w:gridCol w:w="836"/>
      </w:tblGrid>
      <w:tr w:rsidR="009A0590" w:rsidTr="00FB14AC">
        <w:trPr>
          <w:trHeight w:val="440"/>
        </w:trPr>
        <w:tc>
          <w:tcPr>
            <w:tcW w:w="3217" w:type="dxa"/>
          </w:tcPr>
          <w:p w:rsidR="009A0590" w:rsidRPr="006210FD" w:rsidRDefault="009A0590" w:rsidP="00FB14AC">
            <w:pPr>
              <w:jc w:val="center"/>
              <w:rPr>
                <w:rFonts w:ascii="Times New Roman" w:hAnsi="Times New Roman" w:cs="Times New Roman"/>
                <w:b/>
              </w:rPr>
            </w:pPr>
            <w:r>
              <w:rPr>
                <w:rFonts w:ascii="Times New Roman" w:hAnsi="Times New Roman" w:cs="Times New Roman"/>
              </w:rPr>
              <w:t xml:space="preserve">           </w:t>
            </w:r>
            <w:r w:rsidRPr="006210FD">
              <w:rPr>
                <w:rFonts w:ascii="Times New Roman" w:hAnsi="Times New Roman" w:cs="Times New Roman"/>
                <w:b/>
              </w:rPr>
              <w:t>Indicator</w:t>
            </w:r>
          </w:p>
        </w:tc>
        <w:tc>
          <w:tcPr>
            <w:tcW w:w="805" w:type="dxa"/>
          </w:tcPr>
          <w:p w:rsidR="009A0590" w:rsidRPr="006E4CF9" w:rsidRDefault="009A0590" w:rsidP="00FB14AC">
            <w:pPr>
              <w:jc w:val="center"/>
              <w:rPr>
                <w:rFonts w:ascii="Times New Roman" w:hAnsi="Times New Roman" w:cs="Times New Roman"/>
                <w:b/>
              </w:rPr>
            </w:pPr>
            <w:r>
              <w:rPr>
                <w:rFonts w:ascii="Times New Roman" w:hAnsi="Times New Roman" w:cs="Times New Roman"/>
                <w:b/>
              </w:rPr>
              <w:t>PC1</w:t>
            </w:r>
          </w:p>
        </w:tc>
        <w:tc>
          <w:tcPr>
            <w:tcW w:w="805" w:type="dxa"/>
          </w:tcPr>
          <w:p w:rsidR="009A0590" w:rsidRPr="006E4CF9" w:rsidRDefault="009A0590" w:rsidP="00FB14AC">
            <w:pPr>
              <w:jc w:val="center"/>
              <w:rPr>
                <w:rFonts w:ascii="Times New Roman" w:hAnsi="Times New Roman" w:cs="Times New Roman"/>
                <w:b/>
              </w:rPr>
            </w:pPr>
            <w:r>
              <w:rPr>
                <w:rFonts w:ascii="Times New Roman" w:hAnsi="Times New Roman" w:cs="Times New Roman"/>
                <w:b/>
              </w:rPr>
              <w:t>PC2</w:t>
            </w:r>
          </w:p>
        </w:tc>
        <w:tc>
          <w:tcPr>
            <w:tcW w:w="805" w:type="dxa"/>
          </w:tcPr>
          <w:p w:rsidR="009A0590" w:rsidRPr="006E4CF9" w:rsidRDefault="009A0590" w:rsidP="00FB14AC">
            <w:pPr>
              <w:jc w:val="center"/>
              <w:rPr>
                <w:rFonts w:ascii="Times New Roman" w:hAnsi="Times New Roman" w:cs="Times New Roman"/>
                <w:b/>
              </w:rPr>
            </w:pPr>
            <w:r>
              <w:rPr>
                <w:rFonts w:ascii="Times New Roman" w:hAnsi="Times New Roman" w:cs="Times New Roman"/>
                <w:b/>
              </w:rPr>
              <w:t>PC3</w:t>
            </w:r>
          </w:p>
        </w:tc>
        <w:tc>
          <w:tcPr>
            <w:tcW w:w="761" w:type="dxa"/>
          </w:tcPr>
          <w:p w:rsidR="009A0590" w:rsidRPr="006E4CF9" w:rsidRDefault="009A0590" w:rsidP="00FB14AC">
            <w:pPr>
              <w:jc w:val="center"/>
              <w:rPr>
                <w:rFonts w:ascii="Times New Roman" w:hAnsi="Times New Roman" w:cs="Times New Roman"/>
                <w:b/>
              </w:rPr>
            </w:pPr>
            <w:r>
              <w:rPr>
                <w:rFonts w:ascii="Times New Roman" w:hAnsi="Times New Roman" w:cs="Times New Roman"/>
                <w:b/>
              </w:rPr>
              <w:t>PC4</w:t>
            </w:r>
          </w:p>
        </w:tc>
        <w:tc>
          <w:tcPr>
            <w:tcW w:w="849" w:type="dxa"/>
          </w:tcPr>
          <w:p w:rsidR="009A0590" w:rsidRPr="006E4CF9" w:rsidRDefault="009A0590" w:rsidP="00FB14AC">
            <w:pPr>
              <w:jc w:val="center"/>
              <w:rPr>
                <w:rFonts w:ascii="Times New Roman" w:hAnsi="Times New Roman" w:cs="Times New Roman"/>
                <w:b/>
              </w:rPr>
            </w:pPr>
            <w:r>
              <w:rPr>
                <w:rFonts w:ascii="Times New Roman" w:hAnsi="Times New Roman" w:cs="Times New Roman"/>
                <w:b/>
              </w:rPr>
              <w:t>PC5</w:t>
            </w:r>
          </w:p>
        </w:tc>
        <w:tc>
          <w:tcPr>
            <w:tcW w:w="836" w:type="dxa"/>
          </w:tcPr>
          <w:p w:rsidR="009A0590" w:rsidRPr="006E4CF9" w:rsidRDefault="009A0590" w:rsidP="00FB14AC">
            <w:pPr>
              <w:jc w:val="center"/>
              <w:rPr>
                <w:rFonts w:ascii="Times New Roman" w:hAnsi="Times New Roman" w:cs="Times New Roman"/>
                <w:b/>
              </w:rPr>
            </w:pPr>
            <w:r>
              <w:rPr>
                <w:rFonts w:ascii="Times New Roman" w:hAnsi="Times New Roman" w:cs="Times New Roman"/>
                <w:b/>
              </w:rPr>
              <w:t>PC6</w:t>
            </w:r>
          </w:p>
        </w:tc>
      </w:tr>
      <w:tr w:rsidR="009A0590" w:rsidTr="00FB14AC">
        <w:trPr>
          <w:trHeight w:val="255"/>
        </w:trPr>
        <w:tc>
          <w:tcPr>
            <w:tcW w:w="3217" w:type="dxa"/>
          </w:tcPr>
          <w:p w:rsidR="009A0590" w:rsidRPr="006E4CF9" w:rsidRDefault="009A0590" w:rsidP="00FB14AC">
            <w:pPr>
              <w:jc w:val="center"/>
              <w:rPr>
                <w:rFonts w:ascii="Times New Roman" w:hAnsi="Times New Roman" w:cs="Times New Roman"/>
              </w:rPr>
            </w:pPr>
            <w:r w:rsidRPr="00C005F2">
              <w:rPr>
                <w:rFonts w:ascii="Times New Roman" w:hAnsi="Times New Roman" w:cs="Times New Roman"/>
              </w:rPr>
              <w:t>Population density</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.067</w:t>
            </w:r>
          </w:p>
        </w:tc>
        <w:tc>
          <w:tcPr>
            <w:tcW w:w="805" w:type="dxa"/>
          </w:tcPr>
          <w:p w:rsidR="009A0590" w:rsidRPr="007E6C3A" w:rsidRDefault="009A0590" w:rsidP="00FB14AC">
            <w:pPr>
              <w:jc w:val="center"/>
              <w:rPr>
                <w:rFonts w:ascii="Times New Roman" w:hAnsi="Times New Roman" w:cs="Times New Roman"/>
              </w:rPr>
            </w:pPr>
            <w:r w:rsidRPr="00AE1ED3">
              <w:rPr>
                <w:rFonts w:ascii="Times New Roman" w:hAnsi="Times New Roman" w:cs="Times New Roman"/>
                <w:color w:val="404040" w:themeColor="text1" w:themeTint="BF"/>
              </w:rPr>
              <w:t>.271</w:t>
            </w:r>
          </w:p>
        </w:tc>
        <w:tc>
          <w:tcPr>
            <w:tcW w:w="805" w:type="dxa"/>
          </w:tcPr>
          <w:p w:rsidR="009A0590" w:rsidRPr="007E6C3A" w:rsidRDefault="009A0590" w:rsidP="00FB14AC">
            <w:pPr>
              <w:jc w:val="center"/>
              <w:rPr>
                <w:rFonts w:ascii="Times New Roman" w:hAnsi="Times New Roman" w:cs="Times New Roman"/>
                <w:b/>
              </w:rPr>
            </w:pPr>
            <w:r w:rsidRPr="007E6C3A">
              <w:rPr>
                <w:rFonts w:ascii="Times New Roman" w:hAnsi="Times New Roman" w:cs="Times New Roman"/>
                <w:b/>
              </w:rPr>
              <w:t>-.616</w:t>
            </w:r>
          </w:p>
        </w:tc>
        <w:tc>
          <w:tcPr>
            <w:tcW w:w="761"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.358</w:t>
            </w:r>
          </w:p>
        </w:tc>
        <w:tc>
          <w:tcPr>
            <w:tcW w:w="849"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.161</w:t>
            </w:r>
          </w:p>
        </w:tc>
        <w:tc>
          <w:tcPr>
            <w:tcW w:w="836"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-.089</w:t>
            </w:r>
          </w:p>
        </w:tc>
      </w:tr>
      <w:tr w:rsidR="009A0590" w:rsidTr="00FB14AC">
        <w:trPr>
          <w:trHeight w:val="255"/>
        </w:trPr>
        <w:tc>
          <w:tcPr>
            <w:tcW w:w="3217" w:type="dxa"/>
          </w:tcPr>
          <w:p w:rsidR="009A0590" w:rsidRPr="006E4CF9" w:rsidRDefault="009A0590" w:rsidP="00FB14AC">
            <w:pPr>
              <w:jc w:val="center"/>
              <w:rPr>
                <w:rFonts w:ascii="Times New Roman" w:hAnsi="Times New Roman" w:cs="Times New Roman"/>
              </w:rPr>
            </w:pPr>
            <w:r w:rsidRPr="00EF56B9">
              <w:rPr>
                <w:rFonts w:ascii="Times New Roman" w:hAnsi="Times New Roman" w:cs="Times New Roman"/>
              </w:rPr>
              <w:t>Household</w:t>
            </w:r>
            <w:r>
              <w:rPr>
                <w:rFonts w:ascii="Times New Roman" w:hAnsi="Times New Roman" w:cs="Times New Roman"/>
              </w:rPr>
              <w:t xml:space="preserve"> (HH)</w:t>
            </w:r>
            <w:r w:rsidRPr="00EF56B9">
              <w:rPr>
                <w:rFonts w:ascii="Times New Roman" w:hAnsi="Times New Roman" w:cs="Times New Roman"/>
              </w:rPr>
              <w:t xml:space="preserve"> size</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.091</w:t>
            </w:r>
          </w:p>
        </w:tc>
        <w:tc>
          <w:tcPr>
            <w:tcW w:w="805" w:type="dxa"/>
          </w:tcPr>
          <w:p w:rsidR="009A0590" w:rsidRPr="007E6C3A" w:rsidRDefault="009A0590" w:rsidP="00FB14AC">
            <w:pPr>
              <w:jc w:val="center"/>
              <w:rPr>
                <w:rFonts w:ascii="Times New Roman" w:hAnsi="Times New Roman" w:cs="Times New Roman"/>
                <w:b/>
              </w:rPr>
            </w:pPr>
            <w:r w:rsidRPr="007E6C3A">
              <w:rPr>
                <w:rFonts w:ascii="Times New Roman" w:hAnsi="Times New Roman" w:cs="Times New Roman"/>
                <w:b/>
              </w:rPr>
              <w:t>.750</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-.072</w:t>
            </w:r>
          </w:p>
        </w:tc>
        <w:tc>
          <w:tcPr>
            <w:tcW w:w="761"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.180</w:t>
            </w:r>
          </w:p>
        </w:tc>
        <w:tc>
          <w:tcPr>
            <w:tcW w:w="849"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.229</w:t>
            </w:r>
          </w:p>
        </w:tc>
        <w:tc>
          <w:tcPr>
            <w:tcW w:w="836"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-.034</w:t>
            </w:r>
          </w:p>
        </w:tc>
      </w:tr>
      <w:tr w:rsidR="009A0590" w:rsidTr="00FB14AC">
        <w:trPr>
          <w:trHeight w:val="255"/>
        </w:trPr>
        <w:tc>
          <w:tcPr>
            <w:tcW w:w="3217" w:type="dxa"/>
          </w:tcPr>
          <w:p w:rsidR="009A0590" w:rsidRPr="006E4CF9" w:rsidRDefault="009A0590" w:rsidP="00FB14AC">
            <w:pPr>
              <w:jc w:val="center"/>
              <w:rPr>
                <w:rFonts w:ascii="Times New Roman" w:hAnsi="Times New Roman" w:cs="Times New Roman"/>
              </w:rPr>
            </w:pPr>
            <w:r w:rsidRPr="00EF56B9">
              <w:rPr>
                <w:rFonts w:ascii="Times New Roman" w:hAnsi="Times New Roman" w:cs="Times New Roman"/>
              </w:rPr>
              <w:t>Young population</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-.151</w:t>
            </w:r>
          </w:p>
        </w:tc>
        <w:tc>
          <w:tcPr>
            <w:tcW w:w="805" w:type="dxa"/>
          </w:tcPr>
          <w:p w:rsidR="009A0590" w:rsidRPr="007E6C3A" w:rsidRDefault="009A0590" w:rsidP="00FB14AC">
            <w:pPr>
              <w:jc w:val="center"/>
              <w:rPr>
                <w:rFonts w:ascii="Times New Roman" w:hAnsi="Times New Roman" w:cs="Times New Roman"/>
                <w:b/>
              </w:rPr>
            </w:pPr>
            <w:r w:rsidRPr="007E6C3A">
              <w:rPr>
                <w:rFonts w:ascii="Times New Roman" w:hAnsi="Times New Roman" w:cs="Times New Roman"/>
                <w:b/>
              </w:rPr>
              <w:t>.792</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.081</w:t>
            </w:r>
          </w:p>
        </w:tc>
        <w:tc>
          <w:tcPr>
            <w:tcW w:w="761"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-.073</w:t>
            </w:r>
          </w:p>
        </w:tc>
        <w:tc>
          <w:tcPr>
            <w:tcW w:w="849"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.079</w:t>
            </w:r>
          </w:p>
        </w:tc>
        <w:tc>
          <w:tcPr>
            <w:tcW w:w="836"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.016</w:t>
            </w:r>
          </w:p>
        </w:tc>
      </w:tr>
      <w:tr w:rsidR="009A0590" w:rsidTr="00FB14AC">
        <w:trPr>
          <w:trHeight w:val="255"/>
        </w:trPr>
        <w:tc>
          <w:tcPr>
            <w:tcW w:w="3217" w:type="dxa"/>
          </w:tcPr>
          <w:p w:rsidR="009A0590" w:rsidRPr="006E4CF9" w:rsidRDefault="009A0590" w:rsidP="00FB14AC">
            <w:pPr>
              <w:jc w:val="center"/>
              <w:rPr>
                <w:rFonts w:ascii="Times New Roman" w:hAnsi="Times New Roman" w:cs="Times New Roman"/>
              </w:rPr>
            </w:pPr>
            <w:r>
              <w:rPr>
                <w:rFonts w:ascii="Times New Roman" w:hAnsi="Times New Roman" w:cs="Times New Roman"/>
              </w:rPr>
              <w:t>Senior</w:t>
            </w:r>
            <w:r w:rsidRPr="00EF56B9">
              <w:rPr>
                <w:rFonts w:ascii="Times New Roman" w:hAnsi="Times New Roman" w:cs="Times New Roman"/>
              </w:rPr>
              <w:t xml:space="preserve"> population</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.055</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.121</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-.029</w:t>
            </w:r>
          </w:p>
        </w:tc>
        <w:tc>
          <w:tcPr>
            <w:tcW w:w="761"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-.102</w:t>
            </w:r>
          </w:p>
        </w:tc>
        <w:tc>
          <w:tcPr>
            <w:tcW w:w="849" w:type="dxa"/>
          </w:tcPr>
          <w:p w:rsidR="009A0590" w:rsidRPr="00B5426B" w:rsidRDefault="009A0590" w:rsidP="00FB14AC">
            <w:pPr>
              <w:jc w:val="center"/>
              <w:rPr>
                <w:rFonts w:ascii="Times New Roman" w:hAnsi="Times New Roman" w:cs="Times New Roman"/>
                <w:b/>
              </w:rPr>
            </w:pPr>
            <w:r w:rsidRPr="00B5426B">
              <w:rPr>
                <w:rFonts w:ascii="Times New Roman" w:hAnsi="Times New Roman" w:cs="Times New Roman"/>
                <w:b/>
              </w:rPr>
              <w:t>-.562</w:t>
            </w:r>
          </w:p>
        </w:tc>
        <w:tc>
          <w:tcPr>
            <w:tcW w:w="836" w:type="dxa"/>
          </w:tcPr>
          <w:p w:rsidR="009A0590" w:rsidRPr="007E6C3A" w:rsidRDefault="009A0590" w:rsidP="00FB14AC">
            <w:pPr>
              <w:jc w:val="center"/>
              <w:rPr>
                <w:rFonts w:ascii="Times New Roman" w:hAnsi="Times New Roman" w:cs="Times New Roman"/>
              </w:rPr>
            </w:pPr>
            <w:r w:rsidRPr="00AE1ED3">
              <w:rPr>
                <w:rFonts w:ascii="Times New Roman" w:hAnsi="Times New Roman" w:cs="Times New Roman"/>
                <w:color w:val="404040" w:themeColor="text1" w:themeTint="BF"/>
              </w:rPr>
              <w:t>.214</w:t>
            </w:r>
          </w:p>
        </w:tc>
      </w:tr>
      <w:tr w:rsidR="009A0590" w:rsidTr="00FB14AC">
        <w:trPr>
          <w:trHeight w:val="272"/>
        </w:trPr>
        <w:tc>
          <w:tcPr>
            <w:tcW w:w="3217" w:type="dxa"/>
          </w:tcPr>
          <w:p w:rsidR="009A0590" w:rsidRPr="006E4CF9" w:rsidRDefault="009A0590" w:rsidP="00FB14AC">
            <w:pPr>
              <w:jc w:val="center"/>
              <w:rPr>
                <w:rFonts w:ascii="Times New Roman" w:hAnsi="Times New Roman" w:cs="Times New Roman"/>
              </w:rPr>
            </w:pPr>
            <w:r w:rsidRPr="00EF56B9">
              <w:rPr>
                <w:rFonts w:ascii="Times New Roman" w:hAnsi="Times New Roman" w:cs="Times New Roman"/>
              </w:rPr>
              <w:t>Ethnic population</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.107</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-.003</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.007</w:t>
            </w:r>
          </w:p>
        </w:tc>
        <w:tc>
          <w:tcPr>
            <w:tcW w:w="761"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.127</w:t>
            </w:r>
          </w:p>
        </w:tc>
        <w:tc>
          <w:tcPr>
            <w:tcW w:w="849"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-.104</w:t>
            </w:r>
          </w:p>
        </w:tc>
        <w:tc>
          <w:tcPr>
            <w:tcW w:w="836" w:type="dxa"/>
          </w:tcPr>
          <w:p w:rsidR="009A0590" w:rsidRPr="006662BD" w:rsidRDefault="009A0590" w:rsidP="00FB14AC">
            <w:pPr>
              <w:jc w:val="center"/>
              <w:rPr>
                <w:rFonts w:ascii="Times New Roman" w:hAnsi="Times New Roman" w:cs="Times New Roman"/>
                <w:b/>
              </w:rPr>
            </w:pPr>
            <w:r w:rsidRPr="006662BD">
              <w:rPr>
                <w:rFonts w:ascii="Times New Roman" w:hAnsi="Times New Roman" w:cs="Times New Roman"/>
                <w:b/>
              </w:rPr>
              <w:t>.859</w:t>
            </w:r>
          </w:p>
        </w:tc>
      </w:tr>
      <w:tr w:rsidR="009A0590" w:rsidTr="00FB14AC">
        <w:trPr>
          <w:trHeight w:val="255"/>
        </w:trPr>
        <w:tc>
          <w:tcPr>
            <w:tcW w:w="3217" w:type="dxa"/>
          </w:tcPr>
          <w:p w:rsidR="009A0590" w:rsidRPr="00EF56B9" w:rsidRDefault="009A0590" w:rsidP="00FB14AC">
            <w:pPr>
              <w:jc w:val="center"/>
              <w:rPr>
                <w:rFonts w:ascii="Times New Roman" w:hAnsi="Times New Roman" w:cs="Times New Roman"/>
              </w:rPr>
            </w:pPr>
            <w:r w:rsidRPr="00EF56B9">
              <w:rPr>
                <w:rFonts w:ascii="Times New Roman" w:hAnsi="Times New Roman" w:cs="Times New Roman"/>
              </w:rPr>
              <w:t>Disable population</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-.050</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.325</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.055</w:t>
            </w:r>
          </w:p>
        </w:tc>
        <w:tc>
          <w:tcPr>
            <w:tcW w:w="761" w:type="dxa"/>
          </w:tcPr>
          <w:p w:rsidR="009A0590" w:rsidRPr="00FB79A9" w:rsidRDefault="009A0590" w:rsidP="00FB14AC">
            <w:pPr>
              <w:jc w:val="center"/>
              <w:rPr>
                <w:rFonts w:ascii="Times New Roman" w:hAnsi="Times New Roman" w:cs="Times New Roman"/>
                <w:b/>
              </w:rPr>
            </w:pPr>
            <w:r w:rsidRPr="00FB79A9">
              <w:rPr>
                <w:rFonts w:ascii="Times New Roman" w:hAnsi="Times New Roman" w:cs="Times New Roman"/>
                <w:b/>
              </w:rPr>
              <w:t>-.366</w:t>
            </w:r>
          </w:p>
        </w:tc>
        <w:tc>
          <w:tcPr>
            <w:tcW w:w="849"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-.076</w:t>
            </w:r>
          </w:p>
        </w:tc>
        <w:tc>
          <w:tcPr>
            <w:tcW w:w="836"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.258</w:t>
            </w:r>
          </w:p>
        </w:tc>
      </w:tr>
      <w:tr w:rsidR="009A0590" w:rsidTr="00FB14AC">
        <w:trPr>
          <w:trHeight w:val="255"/>
        </w:trPr>
        <w:tc>
          <w:tcPr>
            <w:tcW w:w="3217" w:type="dxa"/>
          </w:tcPr>
          <w:p w:rsidR="009A0590" w:rsidRPr="00EF56B9" w:rsidRDefault="009A0590" w:rsidP="00FB14AC">
            <w:pPr>
              <w:jc w:val="center"/>
              <w:rPr>
                <w:rFonts w:ascii="Times New Roman" w:hAnsi="Times New Roman" w:cs="Times New Roman"/>
              </w:rPr>
            </w:pPr>
            <w:r w:rsidRPr="00EF56B9">
              <w:rPr>
                <w:rFonts w:ascii="Times New Roman" w:hAnsi="Times New Roman" w:cs="Times New Roman"/>
              </w:rPr>
              <w:t>Male literacy</w:t>
            </w:r>
          </w:p>
        </w:tc>
        <w:tc>
          <w:tcPr>
            <w:tcW w:w="805" w:type="dxa"/>
          </w:tcPr>
          <w:p w:rsidR="009A0590" w:rsidRPr="007E6C3A" w:rsidRDefault="009A0590" w:rsidP="00FB14AC">
            <w:pPr>
              <w:jc w:val="center"/>
              <w:rPr>
                <w:rFonts w:ascii="Times New Roman" w:hAnsi="Times New Roman" w:cs="Times New Roman"/>
                <w:b/>
              </w:rPr>
            </w:pPr>
            <w:r w:rsidRPr="007E6C3A">
              <w:rPr>
                <w:rFonts w:ascii="Times New Roman" w:hAnsi="Times New Roman" w:cs="Times New Roman"/>
                <w:b/>
              </w:rPr>
              <w:t>.734</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-.221</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.061</w:t>
            </w:r>
          </w:p>
        </w:tc>
        <w:tc>
          <w:tcPr>
            <w:tcW w:w="761"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.242</w:t>
            </w:r>
          </w:p>
        </w:tc>
        <w:tc>
          <w:tcPr>
            <w:tcW w:w="849"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-.226</w:t>
            </w:r>
          </w:p>
        </w:tc>
        <w:tc>
          <w:tcPr>
            <w:tcW w:w="836"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.004</w:t>
            </w:r>
          </w:p>
        </w:tc>
      </w:tr>
      <w:tr w:rsidR="009A0590" w:rsidTr="00FB14AC">
        <w:trPr>
          <w:trHeight w:val="255"/>
        </w:trPr>
        <w:tc>
          <w:tcPr>
            <w:tcW w:w="3217" w:type="dxa"/>
          </w:tcPr>
          <w:p w:rsidR="009A0590" w:rsidRPr="00EF56B9" w:rsidRDefault="009A0590" w:rsidP="00FB14AC">
            <w:pPr>
              <w:jc w:val="center"/>
              <w:rPr>
                <w:rFonts w:ascii="Times New Roman" w:hAnsi="Times New Roman" w:cs="Times New Roman"/>
              </w:rPr>
            </w:pPr>
            <w:r w:rsidRPr="00EF56B9">
              <w:rPr>
                <w:rFonts w:ascii="Times New Roman" w:hAnsi="Times New Roman" w:cs="Times New Roman"/>
              </w:rPr>
              <w:t>Female literacy</w:t>
            </w:r>
          </w:p>
        </w:tc>
        <w:tc>
          <w:tcPr>
            <w:tcW w:w="805" w:type="dxa"/>
          </w:tcPr>
          <w:p w:rsidR="009A0590" w:rsidRPr="007E6C3A" w:rsidRDefault="009A0590" w:rsidP="00FB14AC">
            <w:pPr>
              <w:jc w:val="center"/>
              <w:rPr>
                <w:rFonts w:ascii="Times New Roman" w:hAnsi="Times New Roman" w:cs="Times New Roman"/>
                <w:b/>
              </w:rPr>
            </w:pPr>
            <w:r w:rsidRPr="007E6C3A">
              <w:rPr>
                <w:rFonts w:ascii="Times New Roman" w:hAnsi="Times New Roman" w:cs="Times New Roman"/>
                <w:b/>
              </w:rPr>
              <w:t>.803</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-.065</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.054</w:t>
            </w:r>
          </w:p>
        </w:tc>
        <w:tc>
          <w:tcPr>
            <w:tcW w:w="761"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.203</w:t>
            </w:r>
          </w:p>
        </w:tc>
        <w:tc>
          <w:tcPr>
            <w:tcW w:w="849"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-.208</w:t>
            </w:r>
          </w:p>
        </w:tc>
        <w:tc>
          <w:tcPr>
            <w:tcW w:w="836"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.002</w:t>
            </w:r>
          </w:p>
        </w:tc>
      </w:tr>
      <w:tr w:rsidR="009A0590" w:rsidTr="00FB14AC">
        <w:trPr>
          <w:trHeight w:val="255"/>
        </w:trPr>
        <w:tc>
          <w:tcPr>
            <w:tcW w:w="3217" w:type="dxa"/>
          </w:tcPr>
          <w:p w:rsidR="009A0590" w:rsidRPr="006E4CF9" w:rsidRDefault="009A0590" w:rsidP="00FB14AC">
            <w:pPr>
              <w:jc w:val="center"/>
              <w:rPr>
                <w:rFonts w:ascii="Times New Roman" w:hAnsi="Times New Roman" w:cs="Times New Roman"/>
              </w:rPr>
            </w:pPr>
            <w:r>
              <w:rPr>
                <w:rFonts w:ascii="Times New Roman" w:hAnsi="Times New Roman" w:cs="Times New Roman"/>
              </w:rPr>
              <w:t>Kutcha-Jhupri house</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-.268</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.361</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-.020</w:t>
            </w:r>
          </w:p>
        </w:tc>
        <w:tc>
          <w:tcPr>
            <w:tcW w:w="761" w:type="dxa"/>
          </w:tcPr>
          <w:p w:rsidR="009A0590" w:rsidRPr="007E6C3A" w:rsidRDefault="009A0590" w:rsidP="00FB14AC">
            <w:pPr>
              <w:jc w:val="center"/>
              <w:rPr>
                <w:rFonts w:ascii="Times New Roman" w:hAnsi="Times New Roman" w:cs="Times New Roman"/>
                <w:b/>
              </w:rPr>
            </w:pPr>
            <w:r w:rsidRPr="007E6C3A">
              <w:rPr>
                <w:rFonts w:ascii="Times New Roman" w:hAnsi="Times New Roman" w:cs="Times New Roman"/>
                <w:b/>
              </w:rPr>
              <w:t>-.542</w:t>
            </w:r>
          </w:p>
        </w:tc>
        <w:tc>
          <w:tcPr>
            <w:tcW w:w="849"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-.290</w:t>
            </w:r>
          </w:p>
        </w:tc>
        <w:tc>
          <w:tcPr>
            <w:tcW w:w="836"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-.161</w:t>
            </w:r>
          </w:p>
        </w:tc>
      </w:tr>
      <w:tr w:rsidR="009A0590" w:rsidTr="00FB14AC">
        <w:trPr>
          <w:trHeight w:val="255"/>
        </w:trPr>
        <w:tc>
          <w:tcPr>
            <w:tcW w:w="3217" w:type="dxa"/>
          </w:tcPr>
          <w:p w:rsidR="009A0590" w:rsidRPr="006E4CF9" w:rsidRDefault="009A0590" w:rsidP="00FB14AC">
            <w:pPr>
              <w:jc w:val="center"/>
              <w:rPr>
                <w:rFonts w:ascii="Times New Roman" w:hAnsi="Times New Roman" w:cs="Times New Roman"/>
              </w:rPr>
            </w:pPr>
            <w:r>
              <w:rPr>
                <w:rFonts w:ascii="Times New Roman" w:hAnsi="Times New Roman" w:cs="Times New Roman"/>
              </w:rPr>
              <w:t>Non-sanitary toilet</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-.358</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-.065</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-.168</w:t>
            </w:r>
          </w:p>
        </w:tc>
        <w:tc>
          <w:tcPr>
            <w:tcW w:w="761"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-.089</w:t>
            </w:r>
          </w:p>
        </w:tc>
        <w:tc>
          <w:tcPr>
            <w:tcW w:w="849"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.366</w:t>
            </w:r>
          </w:p>
        </w:tc>
        <w:tc>
          <w:tcPr>
            <w:tcW w:w="836" w:type="dxa"/>
          </w:tcPr>
          <w:p w:rsidR="009A0590" w:rsidRPr="007E6C3A" w:rsidRDefault="009A0590" w:rsidP="00FB14AC">
            <w:pPr>
              <w:jc w:val="center"/>
              <w:rPr>
                <w:rFonts w:ascii="Times New Roman" w:hAnsi="Times New Roman" w:cs="Times New Roman"/>
              </w:rPr>
            </w:pPr>
            <w:r w:rsidRPr="006662BD">
              <w:rPr>
                <w:rFonts w:ascii="Times New Roman" w:hAnsi="Times New Roman" w:cs="Times New Roman"/>
                <w:b/>
              </w:rPr>
              <w:t>.474</w:t>
            </w:r>
          </w:p>
        </w:tc>
      </w:tr>
      <w:tr w:rsidR="009A0590" w:rsidTr="00FB14AC">
        <w:trPr>
          <w:trHeight w:val="255"/>
        </w:trPr>
        <w:tc>
          <w:tcPr>
            <w:tcW w:w="3217" w:type="dxa"/>
          </w:tcPr>
          <w:p w:rsidR="009A0590" w:rsidRPr="006E4CF9" w:rsidRDefault="009A0590" w:rsidP="00FB14AC">
            <w:pPr>
              <w:jc w:val="center"/>
              <w:rPr>
                <w:rFonts w:ascii="Times New Roman" w:hAnsi="Times New Roman" w:cs="Times New Roman"/>
              </w:rPr>
            </w:pPr>
            <w:r>
              <w:rPr>
                <w:rFonts w:ascii="Times New Roman" w:hAnsi="Times New Roman" w:cs="Times New Roman"/>
              </w:rPr>
              <w:t>Tube well water</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-.173</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.202</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.126</w:t>
            </w:r>
          </w:p>
        </w:tc>
        <w:tc>
          <w:tcPr>
            <w:tcW w:w="761" w:type="dxa"/>
          </w:tcPr>
          <w:p w:rsidR="009A0590" w:rsidRPr="007E6C3A" w:rsidRDefault="009A0590" w:rsidP="00FB14AC">
            <w:pPr>
              <w:jc w:val="center"/>
              <w:rPr>
                <w:rFonts w:ascii="Times New Roman" w:hAnsi="Times New Roman" w:cs="Times New Roman"/>
                <w:b/>
              </w:rPr>
            </w:pPr>
            <w:r w:rsidRPr="007E6C3A">
              <w:rPr>
                <w:rFonts w:ascii="Times New Roman" w:hAnsi="Times New Roman" w:cs="Times New Roman"/>
                <w:b/>
              </w:rPr>
              <w:t>.859</w:t>
            </w:r>
          </w:p>
        </w:tc>
        <w:tc>
          <w:tcPr>
            <w:tcW w:w="849"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-.045</w:t>
            </w:r>
          </w:p>
        </w:tc>
        <w:tc>
          <w:tcPr>
            <w:tcW w:w="836"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.106</w:t>
            </w:r>
          </w:p>
        </w:tc>
      </w:tr>
      <w:tr w:rsidR="009A0590" w:rsidTr="00FB14AC">
        <w:trPr>
          <w:trHeight w:val="272"/>
        </w:trPr>
        <w:tc>
          <w:tcPr>
            <w:tcW w:w="3217" w:type="dxa"/>
          </w:tcPr>
          <w:p w:rsidR="009A0590" w:rsidRPr="006E4CF9" w:rsidRDefault="009A0590" w:rsidP="00FB14AC">
            <w:pPr>
              <w:jc w:val="center"/>
              <w:rPr>
                <w:rFonts w:ascii="Times New Roman" w:hAnsi="Times New Roman" w:cs="Times New Roman"/>
              </w:rPr>
            </w:pPr>
            <w:r w:rsidRPr="00EF56B9">
              <w:rPr>
                <w:rFonts w:ascii="Times New Roman" w:hAnsi="Times New Roman" w:cs="Times New Roman"/>
              </w:rPr>
              <w:t>Employed male</w:t>
            </w:r>
          </w:p>
        </w:tc>
        <w:tc>
          <w:tcPr>
            <w:tcW w:w="805" w:type="dxa"/>
          </w:tcPr>
          <w:p w:rsidR="009A0590" w:rsidRPr="007E6C3A" w:rsidRDefault="009A0590" w:rsidP="00FB14AC">
            <w:pPr>
              <w:jc w:val="center"/>
              <w:rPr>
                <w:rFonts w:ascii="Times New Roman" w:hAnsi="Times New Roman" w:cs="Times New Roman"/>
                <w:b/>
              </w:rPr>
            </w:pPr>
            <w:r w:rsidRPr="007E6C3A">
              <w:rPr>
                <w:rFonts w:ascii="Times New Roman" w:hAnsi="Times New Roman" w:cs="Times New Roman"/>
                <w:b/>
              </w:rPr>
              <w:t>-.580</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-.440</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.047</w:t>
            </w:r>
          </w:p>
        </w:tc>
        <w:tc>
          <w:tcPr>
            <w:tcW w:w="761"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.124</w:t>
            </w:r>
          </w:p>
        </w:tc>
        <w:tc>
          <w:tcPr>
            <w:tcW w:w="849"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.205</w:t>
            </w:r>
          </w:p>
        </w:tc>
        <w:tc>
          <w:tcPr>
            <w:tcW w:w="836"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.146</w:t>
            </w:r>
          </w:p>
        </w:tc>
      </w:tr>
      <w:tr w:rsidR="009A0590" w:rsidTr="00FB14AC">
        <w:trPr>
          <w:trHeight w:val="255"/>
        </w:trPr>
        <w:tc>
          <w:tcPr>
            <w:tcW w:w="3217" w:type="dxa"/>
          </w:tcPr>
          <w:p w:rsidR="009A0590" w:rsidRPr="006E4CF9" w:rsidRDefault="009A0590" w:rsidP="00FB14AC">
            <w:pPr>
              <w:jc w:val="center"/>
              <w:rPr>
                <w:rFonts w:ascii="Times New Roman" w:hAnsi="Times New Roman" w:cs="Times New Roman"/>
              </w:rPr>
            </w:pPr>
            <w:r w:rsidRPr="00EF56B9">
              <w:rPr>
                <w:rFonts w:ascii="Times New Roman" w:hAnsi="Times New Roman" w:cs="Times New Roman"/>
              </w:rPr>
              <w:t>Employed female</w:t>
            </w:r>
          </w:p>
        </w:tc>
        <w:tc>
          <w:tcPr>
            <w:tcW w:w="805" w:type="dxa"/>
          </w:tcPr>
          <w:p w:rsidR="009A0590" w:rsidRPr="007E6C3A" w:rsidRDefault="009A0590" w:rsidP="00FB14AC">
            <w:pPr>
              <w:jc w:val="center"/>
              <w:rPr>
                <w:rFonts w:ascii="Times New Roman" w:hAnsi="Times New Roman" w:cs="Times New Roman"/>
              </w:rPr>
            </w:pPr>
            <w:r w:rsidRPr="00AE1ED3">
              <w:rPr>
                <w:rFonts w:ascii="Times New Roman" w:hAnsi="Times New Roman" w:cs="Times New Roman"/>
                <w:color w:val="404040" w:themeColor="text1" w:themeTint="BF"/>
              </w:rPr>
              <w:t>.259</w:t>
            </w:r>
          </w:p>
        </w:tc>
        <w:tc>
          <w:tcPr>
            <w:tcW w:w="805" w:type="dxa"/>
          </w:tcPr>
          <w:p w:rsidR="009A0590" w:rsidRPr="007E6C3A" w:rsidRDefault="009A0590" w:rsidP="00FB14AC">
            <w:pPr>
              <w:jc w:val="center"/>
              <w:rPr>
                <w:rFonts w:ascii="Times New Roman" w:hAnsi="Times New Roman" w:cs="Times New Roman"/>
                <w:b/>
              </w:rPr>
            </w:pPr>
            <w:r w:rsidRPr="007E6C3A">
              <w:rPr>
                <w:rFonts w:ascii="Times New Roman" w:hAnsi="Times New Roman" w:cs="Times New Roman"/>
                <w:b/>
              </w:rPr>
              <w:t>-.703</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.107</w:t>
            </w:r>
          </w:p>
        </w:tc>
        <w:tc>
          <w:tcPr>
            <w:tcW w:w="761"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-.065</w:t>
            </w:r>
          </w:p>
        </w:tc>
        <w:tc>
          <w:tcPr>
            <w:tcW w:w="849"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.221</w:t>
            </w:r>
          </w:p>
        </w:tc>
        <w:tc>
          <w:tcPr>
            <w:tcW w:w="836"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-.068</w:t>
            </w:r>
          </w:p>
        </w:tc>
      </w:tr>
      <w:tr w:rsidR="009A0590" w:rsidTr="00FB14AC">
        <w:trPr>
          <w:trHeight w:val="255"/>
        </w:trPr>
        <w:tc>
          <w:tcPr>
            <w:tcW w:w="3217" w:type="dxa"/>
          </w:tcPr>
          <w:p w:rsidR="009A0590" w:rsidRPr="006E4CF9" w:rsidRDefault="009A0590" w:rsidP="00FB14AC">
            <w:pPr>
              <w:jc w:val="center"/>
              <w:rPr>
                <w:rFonts w:ascii="Times New Roman" w:hAnsi="Times New Roman" w:cs="Times New Roman"/>
              </w:rPr>
            </w:pPr>
            <w:r w:rsidRPr="00EF56B9">
              <w:rPr>
                <w:rFonts w:ascii="Times New Roman" w:hAnsi="Times New Roman" w:cs="Times New Roman"/>
              </w:rPr>
              <w:t>Agricultural employment male</w:t>
            </w:r>
          </w:p>
        </w:tc>
        <w:tc>
          <w:tcPr>
            <w:tcW w:w="805" w:type="dxa"/>
          </w:tcPr>
          <w:p w:rsidR="009A0590" w:rsidRPr="007E6C3A" w:rsidRDefault="009A0590" w:rsidP="00FB14AC">
            <w:pPr>
              <w:jc w:val="center"/>
              <w:rPr>
                <w:rFonts w:ascii="Times New Roman" w:hAnsi="Times New Roman" w:cs="Times New Roman"/>
                <w:b/>
              </w:rPr>
            </w:pPr>
            <w:r w:rsidRPr="007E6C3A">
              <w:rPr>
                <w:rFonts w:ascii="Times New Roman" w:hAnsi="Times New Roman" w:cs="Times New Roman"/>
                <w:b/>
              </w:rPr>
              <w:t>-.819</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.132</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-.256</w:t>
            </w:r>
          </w:p>
        </w:tc>
        <w:tc>
          <w:tcPr>
            <w:tcW w:w="761"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-.003</w:t>
            </w:r>
          </w:p>
        </w:tc>
        <w:tc>
          <w:tcPr>
            <w:tcW w:w="849"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-.259</w:t>
            </w:r>
          </w:p>
        </w:tc>
        <w:tc>
          <w:tcPr>
            <w:tcW w:w="836"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-.013</w:t>
            </w:r>
          </w:p>
        </w:tc>
      </w:tr>
      <w:tr w:rsidR="009A0590" w:rsidTr="00FB14AC">
        <w:trPr>
          <w:trHeight w:val="255"/>
        </w:trPr>
        <w:tc>
          <w:tcPr>
            <w:tcW w:w="3217" w:type="dxa"/>
          </w:tcPr>
          <w:p w:rsidR="009A0590" w:rsidRPr="006E4CF9" w:rsidRDefault="009A0590" w:rsidP="00FB14AC">
            <w:pPr>
              <w:jc w:val="center"/>
              <w:rPr>
                <w:rFonts w:ascii="Times New Roman" w:hAnsi="Times New Roman" w:cs="Times New Roman"/>
              </w:rPr>
            </w:pPr>
            <w:r w:rsidRPr="00EF56B9">
              <w:rPr>
                <w:rFonts w:ascii="Times New Roman" w:hAnsi="Times New Roman" w:cs="Times New Roman"/>
              </w:rPr>
              <w:t>Agricultural employment female</w:t>
            </w:r>
          </w:p>
        </w:tc>
        <w:tc>
          <w:tcPr>
            <w:tcW w:w="805" w:type="dxa"/>
          </w:tcPr>
          <w:p w:rsidR="009A0590" w:rsidRPr="007E6C3A" w:rsidRDefault="009A0590" w:rsidP="00FB14AC">
            <w:pPr>
              <w:jc w:val="center"/>
              <w:rPr>
                <w:rFonts w:ascii="Times New Roman" w:hAnsi="Times New Roman" w:cs="Times New Roman"/>
                <w:b/>
              </w:rPr>
            </w:pPr>
            <w:r w:rsidRPr="007E6C3A">
              <w:rPr>
                <w:rFonts w:ascii="Times New Roman" w:hAnsi="Times New Roman" w:cs="Times New Roman"/>
                <w:b/>
              </w:rPr>
              <w:t>-.843</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-.066</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-.256</w:t>
            </w:r>
          </w:p>
        </w:tc>
        <w:tc>
          <w:tcPr>
            <w:tcW w:w="761"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.097</w:t>
            </w:r>
          </w:p>
        </w:tc>
        <w:tc>
          <w:tcPr>
            <w:tcW w:w="849"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-.105</w:t>
            </w:r>
          </w:p>
        </w:tc>
        <w:tc>
          <w:tcPr>
            <w:tcW w:w="836"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.035</w:t>
            </w:r>
          </w:p>
        </w:tc>
      </w:tr>
      <w:tr w:rsidR="009A0590" w:rsidTr="00FB14AC">
        <w:trPr>
          <w:trHeight w:val="255"/>
        </w:trPr>
        <w:tc>
          <w:tcPr>
            <w:tcW w:w="3217" w:type="dxa"/>
          </w:tcPr>
          <w:p w:rsidR="009A0590" w:rsidRPr="006E4CF9" w:rsidRDefault="009A0590" w:rsidP="00FB14AC">
            <w:pPr>
              <w:jc w:val="center"/>
              <w:rPr>
                <w:rFonts w:ascii="Times New Roman" w:hAnsi="Times New Roman" w:cs="Times New Roman"/>
              </w:rPr>
            </w:pPr>
            <w:r w:rsidRPr="00EF56B9">
              <w:rPr>
                <w:rFonts w:ascii="Times New Roman" w:hAnsi="Times New Roman" w:cs="Times New Roman"/>
              </w:rPr>
              <w:t>Industrial employment male</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.168</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-.013</w:t>
            </w:r>
          </w:p>
        </w:tc>
        <w:tc>
          <w:tcPr>
            <w:tcW w:w="805" w:type="dxa"/>
          </w:tcPr>
          <w:p w:rsidR="009A0590" w:rsidRPr="007E6C3A" w:rsidRDefault="009A0590" w:rsidP="00FB14AC">
            <w:pPr>
              <w:jc w:val="center"/>
              <w:rPr>
                <w:rFonts w:ascii="Times New Roman" w:hAnsi="Times New Roman" w:cs="Times New Roman"/>
                <w:b/>
              </w:rPr>
            </w:pPr>
            <w:r w:rsidRPr="007E6C3A">
              <w:rPr>
                <w:rFonts w:ascii="Times New Roman" w:hAnsi="Times New Roman" w:cs="Times New Roman"/>
                <w:b/>
              </w:rPr>
              <w:t>.863</w:t>
            </w:r>
          </w:p>
        </w:tc>
        <w:tc>
          <w:tcPr>
            <w:tcW w:w="761"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.113</w:t>
            </w:r>
          </w:p>
        </w:tc>
        <w:tc>
          <w:tcPr>
            <w:tcW w:w="849"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.121</w:t>
            </w:r>
          </w:p>
        </w:tc>
        <w:tc>
          <w:tcPr>
            <w:tcW w:w="836"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.004</w:t>
            </w:r>
          </w:p>
        </w:tc>
      </w:tr>
      <w:tr w:rsidR="009A0590" w:rsidTr="00FB14AC">
        <w:trPr>
          <w:trHeight w:val="255"/>
        </w:trPr>
        <w:tc>
          <w:tcPr>
            <w:tcW w:w="3217" w:type="dxa"/>
          </w:tcPr>
          <w:p w:rsidR="009A0590" w:rsidRPr="006E4CF9" w:rsidRDefault="009A0590" w:rsidP="00FB14AC">
            <w:pPr>
              <w:jc w:val="center"/>
              <w:rPr>
                <w:rFonts w:ascii="Times New Roman" w:hAnsi="Times New Roman" w:cs="Times New Roman"/>
              </w:rPr>
            </w:pPr>
            <w:r w:rsidRPr="00EF56B9">
              <w:rPr>
                <w:rFonts w:ascii="Times New Roman" w:hAnsi="Times New Roman" w:cs="Times New Roman"/>
              </w:rPr>
              <w:t>Industrial employment female</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-.063</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.155</w:t>
            </w:r>
          </w:p>
        </w:tc>
        <w:tc>
          <w:tcPr>
            <w:tcW w:w="805" w:type="dxa"/>
          </w:tcPr>
          <w:p w:rsidR="009A0590" w:rsidRPr="007E6C3A" w:rsidRDefault="009A0590" w:rsidP="00FB14AC">
            <w:pPr>
              <w:jc w:val="center"/>
              <w:rPr>
                <w:rFonts w:ascii="Times New Roman" w:hAnsi="Times New Roman" w:cs="Times New Roman"/>
                <w:b/>
              </w:rPr>
            </w:pPr>
            <w:r w:rsidRPr="007E6C3A">
              <w:rPr>
                <w:rFonts w:ascii="Times New Roman" w:hAnsi="Times New Roman" w:cs="Times New Roman"/>
                <w:b/>
              </w:rPr>
              <w:t>.900</w:t>
            </w:r>
          </w:p>
        </w:tc>
        <w:tc>
          <w:tcPr>
            <w:tcW w:w="761"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.157</w:t>
            </w:r>
          </w:p>
        </w:tc>
        <w:tc>
          <w:tcPr>
            <w:tcW w:w="849"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.072</w:t>
            </w:r>
          </w:p>
        </w:tc>
        <w:tc>
          <w:tcPr>
            <w:tcW w:w="836"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-.088</w:t>
            </w:r>
          </w:p>
        </w:tc>
      </w:tr>
      <w:tr w:rsidR="009A0590" w:rsidTr="00FB14AC">
        <w:trPr>
          <w:trHeight w:val="317"/>
        </w:trPr>
        <w:tc>
          <w:tcPr>
            <w:tcW w:w="3217" w:type="dxa"/>
          </w:tcPr>
          <w:p w:rsidR="009A0590" w:rsidRPr="006E4CF9" w:rsidRDefault="009A0590" w:rsidP="00FB14AC">
            <w:pPr>
              <w:jc w:val="center"/>
              <w:rPr>
                <w:rFonts w:ascii="Times New Roman" w:hAnsi="Times New Roman" w:cs="Times New Roman"/>
              </w:rPr>
            </w:pPr>
            <w:r w:rsidRPr="00EF56B9">
              <w:rPr>
                <w:rFonts w:ascii="Times New Roman" w:hAnsi="Times New Roman" w:cs="Times New Roman"/>
              </w:rPr>
              <w:t>Service employment male</w:t>
            </w:r>
          </w:p>
        </w:tc>
        <w:tc>
          <w:tcPr>
            <w:tcW w:w="805" w:type="dxa"/>
          </w:tcPr>
          <w:p w:rsidR="009A0590" w:rsidRPr="007E6C3A" w:rsidRDefault="009A0590" w:rsidP="00FB14AC">
            <w:pPr>
              <w:jc w:val="center"/>
              <w:rPr>
                <w:rFonts w:ascii="Times New Roman" w:hAnsi="Times New Roman" w:cs="Times New Roman"/>
                <w:b/>
              </w:rPr>
            </w:pPr>
            <w:r w:rsidRPr="007E6C3A">
              <w:rPr>
                <w:rFonts w:ascii="Times New Roman" w:hAnsi="Times New Roman" w:cs="Times New Roman"/>
                <w:b/>
              </w:rPr>
              <w:t>.887</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-.147</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-.096</w:t>
            </w:r>
          </w:p>
        </w:tc>
        <w:tc>
          <w:tcPr>
            <w:tcW w:w="761"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-.047</w:t>
            </w:r>
          </w:p>
        </w:tc>
        <w:tc>
          <w:tcPr>
            <w:tcW w:w="849"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.254</w:t>
            </w:r>
          </w:p>
        </w:tc>
        <w:tc>
          <w:tcPr>
            <w:tcW w:w="836"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.009</w:t>
            </w:r>
          </w:p>
        </w:tc>
      </w:tr>
      <w:tr w:rsidR="009A0590" w:rsidTr="00FB14AC">
        <w:trPr>
          <w:trHeight w:val="317"/>
        </w:trPr>
        <w:tc>
          <w:tcPr>
            <w:tcW w:w="3217" w:type="dxa"/>
          </w:tcPr>
          <w:p w:rsidR="009A0590" w:rsidRPr="006E4CF9" w:rsidRDefault="009A0590" w:rsidP="00FB14AC">
            <w:pPr>
              <w:jc w:val="center"/>
              <w:rPr>
                <w:rFonts w:ascii="Times New Roman" w:hAnsi="Times New Roman" w:cs="Times New Roman"/>
              </w:rPr>
            </w:pPr>
            <w:r w:rsidRPr="00EF56B9">
              <w:rPr>
                <w:rFonts w:ascii="Times New Roman" w:hAnsi="Times New Roman" w:cs="Times New Roman"/>
              </w:rPr>
              <w:t>Service employment female</w:t>
            </w:r>
          </w:p>
        </w:tc>
        <w:tc>
          <w:tcPr>
            <w:tcW w:w="805" w:type="dxa"/>
          </w:tcPr>
          <w:p w:rsidR="009A0590" w:rsidRPr="007E6C3A" w:rsidRDefault="009A0590" w:rsidP="00FB14AC">
            <w:pPr>
              <w:jc w:val="center"/>
              <w:rPr>
                <w:rFonts w:ascii="Times New Roman" w:hAnsi="Times New Roman" w:cs="Times New Roman"/>
                <w:b/>
              </w:rPr>
            </w:pPr>
            <w:r w:rsidRPr="007E6C3A">
              <w:rPr>
                <w:rFonts w:ascii="Times New Roman" w:hAnsi="Times New Roman" w:cs="Times New Roman"/>
                <w:b/>
              </w:rPr>
              <w:t>.927</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-.017</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-.194</w:t>
            </w:r>
          </w:p>
        </w:tc>
        <w:tc>
          <w:tcPr>
            <w:tcW w:w="761"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-.188</w:t>
            </w:r>
          </w:p>
        </w:tc>
        <w:tc>
          <w:tcPr>
            <w:tcW w:w="849"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.074</w:t>
            </w:r>
          </w:p>
        </w:tc>
        <w:tc>
          <w:tcPr>
            <w:tcW w:w="836"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.014</w:t>
            </w:r>
          </w:p>
        </w:tc>
      </w:tr>
      <w:tr w:rsidR="009A0590" w:rsidTr="00FB14AC">
        <w:trPr>
          <w:trHeight w:val="317"/>
        </w:trPr>
        <w:tc>
          <w:tcPr>
            <w:tcW w:w="3217" w:type="dxa"/>
          </w:tcPr>
          <w:p w:rsidR="009A0590" w:rsidRPr="006E4CF9" w:rsidRDefault="009A0590" w:rsidP="00FB14AC">
            <w:pPr>
              <w:jc w:val="center"/>
              <w:rPr>
                <w:rFonts w:ascii="Times New Roman" w:hAnsi="Times New Roman" w:cs="Times New Roman"/>
              </w:rPr>
            </w:pPr>
            <w:r>
              <w:rPr>
                <w:rFonts w:ascii="Times New Roman" w:hAnsi="Times New Roman" w:cs="Times New Roman"/>
              </w:rPr>
              <w:t>All age pop</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.123</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.247</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.075</w:t>
            </w:r>
          </w:p>
        </w:tc>
        <w:tc>
          <w:tcPr>
            <w:tcW w:w="761"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-.023</w:t>
            </w:r>
          </w:p>
        </w:tc>
        <w:tc>
          <w:tcPr>
            <w:tcW w:w="849" w:type="dxa"/>
          </w:tcPr>
          <w:p w:rsidR="009A0590" w:rsidRPr="00FB79A9" w:rsidRDefault="009A0590" w:rsidP="00FB14AC">
            <w:pPr>
              <w:jc w:val="center"/>
              <w:rPr>
                <w:rFonts w:ascii="Times New Roman" w:hAnsi="Times New Roman" w:cs="Times New Roman"/>
                <w:b/>
              </w:rPr>
            </w:pPr>
            <w:r w:rsidRPr="00FB79A9">
              <w:rPr>
                <w:rFonts w:ascii="Times New Roman" w:hAnsi="Times New Roman" w:cs="Times New Roman"/>
                <w:b/>
              </w:rPr>
              <w:t>.701</w:t>
            </w:r>
          </w:p>
        </w:tc>
        <w:tc>
          <w:tcPr>
            <w:tcW w:w="836" w:type="dxa"/>
          </w:tcPr>
          <w:p w:rsidR="009A0590" w:rsidRPr="006E4CF9" w:rsidRDefault="009A0590" w:rsidP="00FB14AC">
            <w:pPr>
              <w:jc w:val="center"/>
              <w:rPr>
                <w:rFonts w:ascii="Times New Roman" w:hAnsi="Times New Roman" w:cs="Times New Roman"/>
              </w:rPr>
            </w:pPr>
            <w:r w:rsidRPr="00AE1ED3">
              <w:rPr>
                <w:rFonts w:ascii="Times New Roman" w:hAnsi="Times New Roman" w:cs="Times New Roman"/>
                <w:color w:val="404040" w:themeColor="text1" w:themeTint="BF"/>
              </w:rPr>
              <w:t>.096</w:t>
            </w:r>
          </w:p>
        </w:tc>
      </w:tr>
    </w:tbl>
    <w:p w:rsidR="00B96693" w:rsidRDefault="00B96693" w:rsidP="00B96693">
      <w:pPr>
        <w:spacing w:line="240" w:lineRule="auto"/>
        <w:jc w:val="center"/>
        <w:rPr>
          <w:sz w:val="20"/>
          <w:szCs w:val="20"/>
        </w:rPr>
      </w:pPr>
      <w:r w:rsidRPr="0066330E">
        <w:rPr>
          <w:sz w:val="20"/>
          <w:szCs w:val="20"/>
        </w:rPr>
        <w:t>Extraction Method: P</w:t>
      </w:r>
      <w:r>
        <w:rPr>
          <w:sz w:val="20"/>
          <w:szCs w:val="20"/>
        </w:rPr>
        <w:t>rincipal Component Analysis</w:t>
      </w:r>
      <w:r w:rsidRPr="0066330E">
        <w:rPr>
          <w:sz w:val="20"/>
          <w:szCs w:val="20"/>
        </w:rPr>
        <w:t>; Rotation Method: Oblimin with Kaiser Normalization (Rotation converged in 17 iterations). Bold values indicate the loadings</w:t>
      </w:r>
      <w:r w:rsidR="006778B7">
        <w:rPr>
          <w:sz w:val="20"/>
          <w:szCs w:val="20"/>
        </w:rPr>
        <w:t xml:space="preserve"> have been normalized and</w:t>
      </w:r>
      <w:r w:rsidRPr="0066330E">
        <w:rPr>
          <w:sz w:val="20"/>
          <w:szCs w:val="20"/>
        </w:rPr>
        <w:t xml:space="preserve"> used as the weights for the respective indicators in the rurality index in this study.</w:t>
      </w:r>
      <w:r>
        <w:rPr>
          <w:sz w:val="20"/>
          <w:szCs w:val="20"/>
        </w:rPr>
        <w:t xml:space="preserve"> Source: Authors’ compilation from the PCA.</w:t>
      </w:r>
    </w:p>
    <w:p w:rsidR="008C6D3E" w:rsidRDefault="00050696" w:rsidP="005A7ACC">
      <w:pPr>
        <w:rPr>
          <w:szCs w:val="24"/>
        </w:rPr>
      </w:pPr>
      <w:r>
        <w:rPr>
          <w:szCs w:val="24"/>
        </w:rPr>
        <w:t>The PCA analysis has been verified as statistically valid through the Kaiser-Meyer-Olkin (KMO) and Bartlett’s test (George and Mallery, 2006;</w:t>
      </w:r>
      <w:r w:rsidRPr="00DD0499">
        <w:rPr>
          <w:szCs w:val="24"/>
        </w:rPr>
        <w:t xml:space="preserve"> </w:t>
      </w:r>
      <w:r>
        <w:rPr>
          <w:szCs w:val="24"/>
        </w:rPr>
        <w:t xml:space="preserve">Field, 2005; </w:t>
      </w:r>
      <w:r w:rsidRPr="005B05CA">
        <w:rPr>
          <w:rFonts w:cs="Times New Roman"/>
          <w:bCs/>
          <w:spacing w:val="-5"/>
          <w:szCs w:val="24"/>
          <w:shd w:val="clear" w:color="auto" w:fill="FFFFFF"/>
        </w:rPr>
        <w:t>Ocaña-Riola</w:t>
      </w:r>
      <w:r w:rsidRPr="005B05CA">
        <w:rPr>
          <w:rFonts w:cs="Times New Roman"/>
          <w:szCs w:val="24"/>
        </w:rPr>
        <w:t xml:space="preserve"> and </w:t>
      </w:r>
      <w:r w:rsidRPr="005B05CA">
        <w:rPr>
          <w:rFonts w:cs="Times New Roman"/>
          <w:bCs/>
          <w:spacing w:val="-5"/>
          <w:szCs w:val="24"/>
          <w:shd w:val="clear" w:color="auto" w:fill="FFFFFF"/>
        </w:rPr>
        <w:t>Sánchez-Cantalejo</w:t>
      </w:r>
      <w:r>
        <w:rPr>
          <w:rFonts w:cs="Times New Roman"/>
          <w:bCs/>
          <w:spacing w:val="-5"/>
          <w:szCs w:val="24"/>
          <w:shd w:val="clear" w:color="auto" w:fill="FFFFFF"/>
        </w:rPr>
        <w:t>, 2005</w:t>
      </w:r>
      <w:r>
        <w:rPr>
          <w:szCs w:val="24"/>
        </w:rPr>
        <w:t xml:space="preserve">). The KMO measure of the PCA (see </w:t>
      </w:r>
      <w:hyperlink w:anchor="_Table_5:_KMO" w:history="1">
        <w:r w:rsidRPr="00C7754B">
          <w:rPr>
            <w:rStyle w:val="Hyperlink"/>
            <w:color w:val="auto"/>
            <w:szCs w:val="24"/>
            <w:u w:val="none"/>
          </w:rPr>
          <w:t>Table 5</w:t>
        </w:r>
      </w:hyperlink>
      <w:r>
        <w:rPr>
          <w:szCs w:val="24"/>
        </w:rPr>
        <w:t xml:space="preserve">) has verified the sampling adequacy for the analysis with a value (0.568) greater than the acceptable limit of 0.5. Besides, the Bartlett’s test of sphericity (see </w:t>
      </w:r>
      <w:hyperlink w:anchor="_Table_5:_KMO" w:history="1">
        <w:r w:rsidRPr="00C7754B">
          <w:rPr>
            <w:rStyle w:val="Hyperlink"/>
            <w:color w:val="auto"/>
            <w:szCs w:val="24"/>
            <w:u w:val="none"/>
          </w:rPr>
          <w:t>Table 5</w:t>
        </w:r>
      </w:hyperlink>
      <w:r>
        <w:rPr>
          <w:szCs w:val="24"/>
        </w:rPr>
        <w:t xml:space="preserve">) shows that the </w:t>
      </w:r>
      <w:r>
        <w:rPr>
          <w:i/>
          <w:szCs w:val="24"/>
        </w:rPr>
        <w:t xml:space="preserve">p </w:t>
      </w:r>
      <w:r>
        <w:rPr>
          <w:szCs w:val="24"/>
        </w:rPr>
        <w:t xml:space="preserve">value (0.000) is much lower than 0.05 which means the correlations between </w:t>
      </w:r>
      <w:r>
        <w:rPr>
          <w:szCs w:val="24"/>
        </w:rPr>
        <w:lastRenderedPageBreak/>
        <w:t>the variables are statistically significant. The average communality (0.71) of the PCA has been recorded to be greater than 0.500.</w:t>
      </w:r>
    </w:p>
    <w:tbl>
      <w:tblPr>
        <w:tblpPr w:leftFromText="180" w:rightFromText="180" w:vertAnchor="text" w:horzAnchor="margin" w:tblpXSpec="center" w:tblpY="-44"/>
        <w:tblW w:w="67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713"/>
        <w:gridCol w:w="2562"/>
        <w:gridCol w:w="1505"/>
      </w:tblGrid>
      <w:tr w:rsidR="005B67EC" w:rsidTr="00FB14AC">
        <w:trPr>
          <w:cantSplit/>
          <w:trHeight w:val="402"/>
        </w:trPr>
        <w:tc>
          <w:tcPr>
            <w:tcW w:w="6780" w:type="dxa"/>
            <w:gridSpan w:val="3"/>
            <w:tcBorders>
              <w:top w:val="nil"/>
              <w:left w:val="nil"/>
              <w:bottom w:val="nil"/>
              <w:right w:val="nil"/>
            </w:tcBorders>
            <w:shd w:val="clear" w:color="auto" w:fill="FFFFFF"/>
            <w:vAlign w:val="center"/>
          </w:tcPr>
          <w:p w:rsidR="005B67EC" w:rsidRPr="00EF7B40" w:rsidRDefault="005B67EC" w:rsidP="00FB14AC">
            <w:pPr>
              <w:pStyle w:val="Heading4"/>
              <w:spacing w:line="240" w:lineRule="auto"/>
              <w:jc w:val="center"/>
              <w:rPr>
                <w:rFonts w:ascii="Times New Roman" w:hAnsi="Times New Roman" w:cs="Times New Roman"/>
                <w:i w:val="0"/>
              </w:rPr>
            </w:pPr>
            <w:bookmarkStart w:id="6" w:name="_Table_5:_KMO"/>
            <w:bookmarkStart w:id="7" w:name="_Toc63877299"/>
            <w:bookmarkEnd w:id="6"/>
            <w:r>
              <w:rPr>
                <w:rFonts w:ascii="Times New Roman" w:hAnsi="Times New Roman" w:cs="Times New Roman"/>
                <w:i w:val="0"/>
                <w:color w:val="auto"/>
              </w:rPr>
              <w:t xml:space="preserve">Table 5: </w:t>
            </w:r>
            <w:r w:rsidRPr="00EF7B40">
              <w:rPr>
                <w:rFonts w:ascii="Times New Roman" w:hAnsi="Times New Roman" w:cs="Times New Roman"/>
                <w:i w:val="0"/>
                <w:color w:val="auto"/>
              </w:rPr>
              <w:t>KMO and Bartlett's Test</w:t>
            </w:r>
            <w:bookmarkEnd w:id="7"/>
            <w:r>
              <w:rPr>
                <w:rFonts w:ascii="Times New Roman" w:hAnsi="Times New Roman" w:cs="Times New Roman"/>
                <w:i w:val="0"/>
                <w:color w:val="auto"/>
              </w:rPr>
              <w:t xml:space="preserve"> of the PCA</w:t>
            </w:r>
          </w:p>
        </w:tc>
      </w:tr>
      <w:tr w:rsidR="005B67EC" w:rsidTr="00FB14AC">
        <w:trPr>
          <w:cantSplit/>
          <w:trHeight w:val="459"/>
        </w:trPr>
        <w:tc>
          <w:tcPr>
            <w:tcW w:w="5275" w:type="dxa"/>
            <w:gridSpan w:val="2"/>
            <w:tcBorders>
              <w:top w:val="nil"/>
              <w:left w:val="nil"/>
              <w:bottom w:val="single" w:sz="8" w:space="0" w:color="AEAEAE"/>
              <w:right w:val="nil"/>
            </w:tcBorders>
            <w:shd w:val="clear" w:color="auto" w:fill="auto"/>
          </w:tcPr>
          <w:p w:rsidR="005B67EC" w:rsidRPr="002614B1" w:rsidRDefault="005B67EC" w:rsidP="00FB14AC">
            <w:pPr>
              <w:spacing w:line="320" w:lineRule="atLeast"/>
              <w:ind w:left="60" w:right="60"/>
              <w:jc w:val="left"/>
              <w:rPr>
                <w:rFonts w:cs="Times New Roman"/>
                <w:sz w:val="22"/>
              </w:rPr>
            </w:pPr>
            <w:r w:rsidRPr="002614B1">
              <w:rPr>
                <w:rFonts w:cs="Times New Roman"/>
                <w:sz w:val="22"/>
              </w:rPr>
              <w:t>Kaiser-Meyer-Olkin Measure of Sampling Adequacy.</w:t>
            </w:r>
          </w:p>
        </w:tc>
        <w:tc>
          <w:tcPr>
            <w:tcW w:w="1505" w:type="dxa"/>
            <w:tcBorders>
              <w:top w:val="nil"/>
              <w:left w:val="nil"/>
              <w:bottom w:val="single" w:sz="8" w:space="0" w:color="AEAEAE"/>
              <w:right w:val="nil"/>
            </w:tcBorders>
            <w:shd w:val="clear" w:color="auto" w:fill="auto"/>
          </w:tcPr>
          <w:p w:rsidR="005B67EC" w:rsidRPr="00CC4C71" w:rsidRDefault="005B67EC" w:rsidP="00FB14AC">
            <w:pPr>
              <w:spacing w:line="320" w:lineRule="atLeast"/>
              <w:ind w:left="60" w:right="60"/>
              <w:jc w:val="left"/>
              <w:rPr>
                <w:rFonts w:cs="Times New Roman"/>
                <w:b/>
                <w:sz w:val="22"/>
              </w:rPr>
            </w:pPr>
            <w:r w:rsidRPr="00CC4C71">
              <w:rPr>
                <w:rFonts w:cs="Times New Roman"/>
                <w:b/>
                <w:sz w:val="22"/>
              </w:rPr>
              <w:t>.568</w:t>
            </w:r>
          </w:p>
        </w:tc>
      </w:tr>
      <w:tr w:rsidR="005B67EC" w:rsidTr="00FB14AC">
        <w:trPr>
          <w:cantSplit/>
          <w:trHeight w:val="459"/>
        </w:trPr>
        <w:tc>
          <w:tcPr>
            <w:tcW w:w="2713" w:type="dxa"/>
            <w:vMerge w:val="restart"/>
            <w:tcBorders>
              <w:top w:val="single" w:sz="8" w:space="0" w:color="AEAEAE"/>
              <w:left w:val="nil"/>
              <w:bottom w:val="single" w:sz="8" w:space="0" w:color="152935"/>
              <w:right w:val="nil"/>
            </w:tcBorders>
            <w:shd w:val="clear" w:color="auto" w:fill="auto"/>
          </w:tcPr>
          <w:p w:rsidR="005B67EC" w:rsidRPr="002614B1" w:rsidRDefault="005B67EC" w:rsidP="00FB14AC">
            <w:pPr>
              <w:spacing w:line="320" w:lineRule="atLeast"/>
              <w:ind w:left="60" w:right="60"/>
              <w:jc w:val="left"/>
              <w:rPr>
                <w:rFonts w:cs="Times New Roman"/>
                <w:sz w:val="22"/>
              </w:rPr>
            </w:pPr>
            <w:r w:rsidRPr="002614B1">
              <w:rPr>
                <w:rFonts w:cs="Times New Roman"/>
                <w:sz w:val="22"/>
              </w:rPr>
              <w:t>Bartlett's Test of Sphericity</w:t>
            </w:r>
          </w:p>
        </w:tc>
        <w:tc>
          <w:tcPr>
            <w:tcW w:w="2562" w:type="dxa"/>
            <w:tcBorders>
              <w:top w:val="single" w:sz="8" w:space="0" w:color="AEAEAE"/>
              <w:left w:val="nil"/>
              <w:bottom w:val="single" w:sz="8" w:space="0" w:color="AEAEAE"/>
              <w:right w:val="nil"/>
            </w:tcBorders>
            <w:shd w:val="clear" w:color="auto" w:fill="auto"/>
          </w:tcPr>
          <w:p w:rsidR="005B67EC" w:rsidRPr="002614B1" w:rsidRDefault="005B67EC" w:rsidP="00FB14AC">
            <w:pPr>
              <w:spacing w:line="320" w:lineRule="atLeast"/>
              <w:ind w:left="60" w:right="60"/>
              <w:jc w:val="left"/>
              <w:rPr>
                <w:rFonts w:cs="Times New Roman"/>
                <w:sz w:val="22"/>
              </w:rPr>
            </w:pPr>
            <w:r w:rsidRPr="002614B1">
              <w:rPr>
                <w:rFonts w:cs="Times New Roman"/>
                <w:sz w:val="22"/>
              </w:rPr>
              <w:t>Approx. Chi-Square</w:t>
            </w:r>
          </w:p>
        </w:tc>
        <w:tc>
          <w:tcPr>
            <w:tcW w:w="1505" w:type="dxa"/>
            <w:tcBorders>
              <w:top w:val="single" w:sz="8" w:space="0" w:color="AEAEAE"/>
              <w:left w:val="nil"/>
              <w:bottom w:val="single" w:sz="8" w:space="0" w:color="AEAEAE"/>
              <w:right w:val="nil"/>
            </w:tcBorders>
            <w:shd w:val="clear" w:color="auto" w:fill="auto"/>
          </w:tcPr>
          <w:p w:rsidR="005B67EC" w:rsidRPr="002614B1" w:rsidRDefault="005B67EC" w:rsidP="00FB14AC">
            <w:pPr>
              <w:spacing w:line="320" w:lineRule="atLeast"/>
              <w:ind w:left="60" w:right="60"/>
              <w:jc w:val="left"/>
              <w:rPr>
                <w:rFonts w:cs="Times New Roman"/>
                <w:sz w:val="22"/>
              </w:rPr>
            </w:pPr>
            <w:r w:rsidRPr="002614B1">
              <w:rPr>
                <w:rFonts w:cs="Times New Roman"/>
                <w:sz w:val="22"/>
              </w:rPr>
              <w:t>9138.809</w:t>
            </w:r>
          </w:p>
        </w:tc>
      </w:tr>
      <w:tr w:rsidR="005B67EC" w:rsidTr="00FB14AC">
        <w:trPr>
          <w:cantSplit/>
          <w:trHeight w:val="489"/>
        </w:trPr>
        <w:tc>
          <w:tcPr>
            <w:tcW w:w="2713" w:type="dxa"/>
            <w:vMerge/>
            <w:tcBorders>
              <w:top w:val="single" w:sz="8" w:space="0" w:color="AEAEAE"/>
              <w:left w:val="nil"/>
              <w:bottom w:val="single" w:sz="8" w:space="0" w:color="152935"/>
              <w:right w:val="nil"/>
            </w:tcBorders>
            <w:shd w:val="clear" w:color="auto" w:fill="auto"/>
          </w:tcPr>
          <w:p w:rsidR="005B67EC" w:rsidRPr="002614B1" w:rsidRDefault="005B67EC" w:rsidP="00FB14AC">
            <w:pPr>
              <w:jc w:val="left"/>
              <w:rPr>
                <w:rFonts w:cs="Times New Roman"/>
                <w:sz w:val="22"/>
              </w:rPr>
            </w:pPr>
          </w:p>
        </w:tc>
        <w:tc>
          <w:tcPr>
            <w:tcW w:w="2562" w:type="dxa"/>
            <w:tcBorders>
              <w:top w:val="single" w:sz="8" w:space="0" w:color="AEAEAE"/>
              <w:left w:val="nil"/>
              <w:bottom w:val="single" w:sz="8" w:space="0" w:color="AEAEAE"/>
              <w:right w:val="nil"/>
            </w:tcBorders>
            <w:shd w:val="clear" w:color="auto" w:fill="auto"/>
          </w:tcPr>
          <w:p w:rsidR="005B67EC" w:rsidRPr="002614B1" w:rsidRDefault="005B67EC" w:rsidP="00FB14AC">
            <w:pPr>
              <w:spacing w:line="320" w:lineRule="atLeast"/>
              <w:ind w:left="60" w:right="60"/>
              <w:jc w:val="left"/>
              <w:rPr>
                <w:rFonts w:cs="Times New Roman"/>
                <w:sz w:val="22"/>
              </w:rPr>
            </w:pPr>
            <w:r w:rsidRPr="002614B1">
              <w:rPr>
                <w:rFonts w:cs="Times New Roman"/>
                <w:sz w:val="22"/>
              </w:rPr>
              <w:t>df</w:t>
            </w:r>
          </w:p>
        </w:tc>
        <w:tc>
          <w:tcPr>
            <w:tcW w:w="1505" w:type="dxa"/>
            <w:tcBorders>
              <w:top w:val="single" w:sz="8" w:space="0" w:color="AEAEAE"/>
              <w:left w:val="nil"/>
              <w:bottom w:val="single" w:sz="8" w:space="0" w:color="AEAEAE"/>
              <w:right w:val="nil"/>
            </w:tcBorders>
            <w:shd w:val="clear" w:color="auto" w:fill="auto"/>
          </w:tcPr>
          <w:p w:rsidR="005B67EC" w:rsidRPr="002614B1" w:rsidRDefault="005B67EC" w:rsidP="00FB14AC">
            <w:pPr>
              <w:spacing w:line="320" w:lineRule="atLeast"/>
              <w:ind w:left="60" w:right="60"/>
              <w:jc w:val="left"/>
              <w:rPr>
                <w:rFonts w:cs="Times New Roman"/>
                <w:sz w:val="22"/>
              </w:rPr>
            </w:pPr>
            <w:r w:rsidRPr="002614B1">
              <w:rPr>
                <w:rFonts w:cs="Times New Roman"/>
                <w:sz w:val="22"/>
              </w:rPr>
              <w:t>325</w:t>
            </w:r>
          </w:p>
        </w:tc>
      </w:tr>
      <w:tr w:rsidR="005B67EC" w:rsidTr="00FB14AC">
        <w:trPr>
          <w:cantSplit/>
          <w:trHeight w:val="474"/>
        </w:trPr>
        <w:tc>
          <w:tcPr>
            <w:tcW w:w="2713" w:type="dxa"/>
            <w:vMerge/>
            <w:tcBorders>
              <w:top w:val="single" w:sz="8" w:space="0" w:color="AEAEAE"/>
              <w:left w:val="nil"/>
              <w:bottom w:val="single" w:sz="8" w:space="0" w:color="152935"/>
              <w:right w:val="nil"/>
            </w:tcBorders>
            <w:shd w:val="clear" w:color="auto" w:fill="auto"/>
          </w:tcPr>
          <w:p w:rsidR="005B67EC" w:rsidRPr="002614B1" w:rsidRDefault="005B67EC" w:rsidP="00FB14AC">
            <w:pPr>
              <w:jc w:val="left"/>
              <w:rPr>
                <w:rFonts w:cs="Times New Roman"/>
                <w:sz w:val="22"/>
              </w:rPr>
            </w:pPr>
          </w:p>
        </w:tc>
        <w:tc>
          <w:tcPr>
            <w:tcW w:w="2562" w:type="dxa"/>
            <w:tcBorders>
              <w:top w:val="single" w:sz="8" w:space="0" w:color="AEAEAE"/>
              <w:left w:val="nil"/>
              <w:bottom w:val="single" w:sz="8" w:space="0" w:color="152935"/>
              <w:right w:val="nil"/>
            </w:tcBorders>
            <w:shd w:val="clear" w:color="auto" w:fill="auto"/>
          </w:tcPr>
          <w:p w:rsidR="005B67EC" w:rsidRPr="002614B1" w:rsidRDefault="005B67EC" w:rsidP="00FB14AC">
            <w:pPr>
              <w:spacing w:line="320" w:lineRule="atLeast"/>
              <w:ind w:left="60" w:right="60"/>
              <w:jc w:val="left"/>
              <w:rPr>
                <w:rFonts w:cs="Times New Roman"/>
                <w:sz w:val="22"/>
              </w:rPr>
            </w:pPr>
            <w:r w:rsidRPr="002614B1">
              <w:rPr>
                <w:rFonts w:cs="Times New Roman"/>
                <w:sz w:val="22"/>
              </w:rPr>
              <w:t>Sig.</w:t>
            </w:r>
          </w:p>
        </w:tc>
        <w:tc>
          <w:tcPr>
            <w:tcW w:w="1505" w:type="dxa"/>
            <w:tcBorders>
              <w:top w:val="single" w:sz="8" w:space="0" w:color="AEAEAE"/>
              <w:left w:val="nil"/>
              <w:bottom w:val="single" w:sz="8" w:space="0" w:color="152935"/>
              <w:right w:val="nil"/>
            </w:tcBorders>
            <w:shd w:val="clear" w:color="auto" w:fill="auto"/>
          </w:tcPr>
          <w:p w:rsidR="005B67EC" w:rsidRPr="00CC4C71" w:rsidRDefault="005B67EC" w:rsidP="00FB14AC">
            <w:pPr>
              <w:spacing w:line="320" w:lineRule="atLeast"/>
              <w:ind w:left="60" w:right="60"/>
              <w:jc w:val="left"/>
              <w:rPr>
                <w:rFonts w:cs="Times New Roman"/>
                <w:b/>
                <w:sz w:val="22"/>
              </w:rPr>
            </w:pPr>
            <w:r w:rsidRPr="00CC4C71">
              <w:rPr>
                <w:rFonts w:cs="Times New Roman"/>
                <w:b/>
                <w:sz w:val="22"/>
              </w:rPr>
              <w:t>.000</w:t>
            </w:r>
          </w:p>
        </w:tc>
      </w:tr>
    </w:tbl>
    <w:p w:rsidR="005B67EC" w:rsidRDefault="005B67EC" w:rsidP="005B67EC">
      <w:pPr>
        <w:jc w:val="center"/>
        <w:rPr>
          <w:szCs w:val="24"/>
        </w:rPr>
      </w:pPr>
    </w:p>
    <w:p w:rsidR="008C6D3E" w:rsidRPr="008C6D3E" w:rsidRDefault="008C6D3E" w:rsidP="008C6D3E">
      <w:pPr>
        <w:jc w:val="center"/>
      </w:pPr>
    </w:p>
    <w:p w:rsidR="008C6D3E" w:rsidRPr="008C6D3E" w:rsidRDefault="008C6D3E" w:rsidP="008C6D3E">
      <w:pPr>
        <w:jc w:val="center"/>
      </w:pPr>
    </w:p>
    <w:p w:rsidR="005A7ACC" w:rsidRDefault="005A7ACC" w:rsidP="00B96693">
      <w:pPr>
        <w:spacing w:line="240" w:lineRule="auto"/>
        <w:jc w:val="center"/>
        <w:rPr>
          <w:sz w:val="20"/>
          <w:szCs w:val="20"/>
        </w:rPr>
      </w:pPr>
    </w:p>
    <w:p w:rsidR="005A7ACC" w:rsidRDefault="005A7ACC" w:rsidP="00B96693">
      <w:pPr>
        <w:spacing w:line="240" w:lineRule="auto"/>
        <w:jc w:val="center"/>
        <w:rPr>
          <w:sz w:val="20"/>
          <w:szCs w:val="20"/>
        </w:rPr>
      </w:pPr>
    </w:p>
    <w:p w:rsidR="003517AC" w:rsidRDefault="003517AC" w:rsidP="003A58C7">
      <w:r w:rsidRPr="003517AC">
        <w:rPr>
          <w:noProof/>
          <w:lang w:val="en-GB" w:eastAsia="en-GB"/>
        </w:rPr>
        <mc:AlternateContent>
          <mc:Choice Requires="wps">
            <w:drawing>
              <wp:anchor distT="0" distB="0" distL="114300" distR="114300" simplePos="0" relativeHeight="251697152" behindDoc="0" locked="0" layoutInCell="1" allowOverlap="1" wp14:anchorId="71809222" wp14:editId="6C73198F">
                <wp:simplePos x="0" y="0"/>
                <wp:positionH relativeFrom="margin">
                  <wp:posOffset>191135</wp:posOffset>
                </wp:positionH>
                <wp:positionV relativeFrom="page">
                  <wp:posOffset>5537200</wp:posOffset>
                </wp:positionV>
                <wp:extent cx="4890770" cy="3295015"/>
                <wp:effectExtent l="0" t="0" r="24130" b="19685"/>
                <wp:wrapThrough wrapText="bothSides">
                  <wp:wrapPolygon edited="0">
                    <wp:start x="0" y="0"/>
                    <wp:lineTo x="0" y="21604"/>
                    <wp:lineTo x="21622" y="21604"/>
                    <wp:lineTo x="21622" y="0"/>
                    <wp:lineTo x="0" y="0"/>
                  </wp:wrapPolygon>
                </wp:wrapThrough>
                <wp:docPr id="7" name="Rectangle 7"/>
                <wp:cNvGraphicFramePr/>
                <a:graphic xmlns:a="http://schemas.openxmlformats.org/drawingml/2006/main">
                  <a:graphicData uri="http://schemas.microsoft.com/office/word/2010/wordprocessingShape">
                    <wps:wsp>
                      <wps:cNvSpPr/>
                      <wps:spPr>
                        <a:xfrm>
                          <a:off x="0" y="0"/>
                          <a:ext cx="4890770" cy="3295015"/>
                        </a:xfrm>
                        <a:prstGeom prst="rect">
                          <a:avLst/>
                        </a:prstGeom>
                        <a:ln>
                          <a:solidFill>
                            <a:schemeClr val="tx1"/>
                          </a:solidFill>
                          <a:prstDash val="lgDashDotDot"/>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CF96CD" id="Rectangle 7" o:spid="_x0000_s1026" style="position:absolute;margin-left:15.05pt;margin-top:436pt;width:385.1pt;height:259.45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" fillcolor="white [3201]" strokecolor="black [3213]" strokeweight="1pt">
                <v:stroke dashstyle="longDashDotDot"/>
                <w10:wrap type="through" anchorx="margin" anchory="page"/>
              </v:rect>
            </w:pict>
          </mc:Fallback>
        </mc:AlternateContent>
      </w:r>
      <w:r w:rsidRPr="003517AC">
        <w:rPr>
          <w:noProof/>
          <w:lang w:val="en-GB" w:eastAsia="en-GB"/>
        </w:rPr>
        <w:drawing>
          <wp:anchor distT="0" distB="0" distL="114300" distR="114300" simplePos="0" relativeHeight="251698176" behindDoc="0" locked="0" layoutInCell="1" allowOverlap="1" wp14:anchorId="75D50556" wp14:editId="083AAFBA">
            <wp:simplePos x="0" y="0"/>
            <wp:positionH relativeFrom="margin">
              <wp:posOffset>303530</wp:posOffset>
            </wp:positionH>
            <wp:positionV relativeFrom="page">
              <wp:posOffset>5632438</wp:posOffset>
            </wp:positionV>
            <wp:extent cx="4646295" cy="3149600"/>
            <wp:effectExtent l="0" t="0" r="1905" b="0"/>
            <wp:wrapThrough wrapText="bothSides">
              <wp:wrapPolygon edited="0">
                <wp:start x="0" y="0"/>
                <wp:lineTo x="0" y="21426"/>
                <wp:lineTo x="21520" y="21426"/>
                <wp:lineTo x="21520"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46295" cy="3149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A58C7" w:rsidRPr="003A58C7">
        <w:rPr>
          <w:rFonts w:cs="Times New Roman"/>
          <w:szCs w:val="24"/>
        </w:rPr>
        <w:t>Figure 3</w:t>
      </w:r>
      <w:r w:rsidR="003A58C7">
        <w:rPr>
          <w:rFonts w:cs="Times New Roman"/>
          <w:szCs w:val="24"/>
        </w:rPr>
        <w:t xml:space="preserve"> depicts that six components have been extracted in this PCA based on the Kaiser criterion (i.e., only factors having Eigenvalue greater than 1) and “point of inflexion” of Tabachnick and Fedell (Hamim et al. 2020), so defined as six-factor</w:t>
      </w:r>
      <w:r w:rsidR="003A58C7" w:rsidRPr="003A58C7">
        <w:rPr>
          <w:rFonts w:cs="Times New Roman"/>
          <w:szCs w:val="24"/>
        </w:rPr>
        <w:t xml:space="preserve"> </w:t>
      </w:r>
      <w:r w:rsidR="003A58C7">
        <w:rPr>
          <w:rFonts w:cs="Times New Roman"/>
          <w:szCs w:val="24"/>
        </w:rPr>
        <w:t xml:space="preserve">model (Beynon et al. 2016). These six components </w:t>
      </w:r>
      <w:r w:rsidR="003A58C7">
        <w:t xml:space="preserve">collectively explain 70.91% of the total variance in the underlying variables utilized in this study (see </w:t>
      </w:r>
      <w:hyperlink w:anchor="_Table_6:_Total" w:history="1">
        <w:r w:rsidR="00114D43" w:rsidRPr="00F12A5F">
          <w:rPr>
            <w:rStyle w:val="Hyperlink"/>
            <w:color w:val="auto"/>
            <w:u w:val="none"/>
          </w:rPr>
          <w:t>Table 6</w:t>
        </w:r>
      </w:hyperlink>
      <w:r w:rsidR="003A58C7">
        <w:t>).</w:t>
      </w:r>
    </w:p>
    <w:p w:rsidR="009A0590" w:rsidRPr="003517AC" w:rsidRDefault="003517AC" w:rsidP="003517AC">
      <w:pPr>
        <w:pStyle w:val="Heading4"/>
        <w:jc w:val="center"/>
        <w:rPr>
          <w:rFonts w:ascii="Times New Roman" w:hAnsi="Times New Roman" w:cs="Times New Roman"/>
          <w:i w:val="0"/>
          <w:color w:val="auto"/>
          <w:sz w:val="22"/>
        </w:rPr>
      </w:pPr>
      <w:r w:rsidRPr="003517AC">
        <w:rPr>
          <w:rFonts w:ascii="Times New Roman" w:hAnsi="Times New Roman" w:cs="Times New Roman"/>
          <w:i w:val="0"/>
          <w:color w:val="auto"/>
          <w:sz w:val="22"/>
        </w:rPr>
        <w:t xml:space="preserve">Figure 3: Scree plot showing the numbers of components retained in the PCA </w:t>
      </w:r>
    </w:p>
    <w:p w:rsidR="009A0590" w:rsidRPr="009A0590" w:rsidRDefault="009A0590" w:rsidP="009A0590">
      <w:pPr>
        <w:jc w:val="center"/>
      </w:pPr>
    </w:p>
    <w:tbl>
      <w:tblPr>
        <w:tblW w:w="81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53"/>
        <w:gridCol w:w="657"/>
        <w:gridCol w:w="1362"/>
        <w:gridCol w:w="1158"/>
        <w:gridCol w:w="720"/>
        <w:gridCol w:w="1080"/>
        <w:gridCol w:w="810"/>
        <w:gridCol w:w="1350"/>
      </w:tblGrid>
      <w:tr w:rsidR="00BD1B84" w:rsidRPr="004F349C" w:rsidTr="003A25AE">
        <w:trPr>
          <w:cantSplit/>
          <w:trHeight w:val="248"/>
        </w:trPr>
        <w:tc>
          <w:tcPr>
            <w:tcW w:w="8190" w:type="dxa"/>
            <w:gridSpan w:val="8"/>
            <w:tcBorders>
              <w:top w:val="nil"/>
              <w:left w:val="nil"/>
              <w:bottom w:val="nil"/>
              <w:right w:val="nil"/>
            </w:tcBorders>
            <w:shd w:val="clear" w:color="auto" w:fill="FFFFFF"/>
            <w:vAlign w:val="center"/>
          </w:tcPr>
          <w:p w:rsidR="00BD1B84" w:rsidRPr="004F349C" w:rsidRDefault="00BD1B84" w:rsidP="00FB14AC">
            <w:pPr>
              <w:pStyle w:val="Heading4"/>
              <w:jc w:val="center"/>
              <w:rPr>
                <w:rFonts w:ascii="Times New Roman" w:hAnsi="Times New Roman" w:cs="Times New Roman"/>
                <w:i w:val="0"/>
                <w:color w:val="auto"/>
                <w:sz w:val="22"/>
              </w:rPr>
            </w:pPr>
            <w:bookmarkStart w:id="8" w:name="_Table_6:_Total"/>
            <w:bookmarkEnd w:id="8"/>
            <w:r>
              <w:rPr>
                <w:rFonts w:ascii="Times New Roman" w:hAnsi="Times New Roman" w:cs="Times New Roman"/>
                <w:i w:val="0"/>
                <w:color w:val="auto"/>
                <w:sz w:val="22"/>
              </w:rPr>
              <w:lastRenderedPageBreak/>
              <w:t>Table 6</w:t>
            </w:r>
            <w:r w:rsidRPr="004F349C">
              <w:rPr>
                <w:rFonts w:ascii="Times New Roman" w:hAnsi="Times New Roman" w:cs="Times New Roman"/>
                <w:i w:val="0"/>
                <w:color w:val="auto"/>
                <w:sz w:val="22"/>
              </w:rPr>
              <w:t>: Total Variance Explained</w:t>
            </w:r>
          </w:p>
        </w:tc>
      </w:tr>
      <w:tr w:rsidR="00BD1B84" w:rsidRPr="00FE30B9" w:rsidTr="003A25AE">
        <w:trPr>
          <w:cantSplit/>
          <w:trHeight w:val="1019"/>
        </w:trPr>
        <w:tc>
          <w:tcPr>
            <w:tcW w:w="1053" w:type="dxa"/>
            <w:vMerge w:val="restart"/>
            <w:tcBorders>
              <w:top w:val="nil"/>
              <w:left w:val="nil"/>
              <w:bottom w:val="nil"/>
              <w:right w:val="nil"/>
            </w:tcBorders>
            <w:shd w:val="clear" w:color="auto" w:fill="auto"/>
            <w:vAlign w:val="bottom"/>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Component</w:t>
            </w:r>
          </w:p>
        </w:tc>
        <w:tc>
          <w:tcPr>
            <w:tcW w:w="3177" w:type="dxa"/>
            <w:gridSpan w:val="3"/>
            <w:tcBorders>
              <w:top w:val="nil"/>
              <w:left w:val="nil"/>
              <w:bottom w:val="nil"/>
              <w:right w:val="nil"/>
            </w:tcBorders>
            <w:shd w:val="clear" w:color="auto" w:fill="auto"/>
            <w:vAlign w:val="bottom"/>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Initial Eigenvalues</w:t>
            </w:r>
          </w:p>
        </w:tc>
        <w:tc>
          <w:tcPr>
            <w:tcW w:w="2610" w:type="dxa"/>
            <w:gridSpan w:val="3"/>
            <w:tcBorders>
              <w:top w:val="nil"/>
              <w:left w:val="single" w:sz="8" w:space="0" w:color="E0E0E0"/>
              <w:bottom w:val="nil"/>
              <w:right w:val="nil"/>
            </w:tcBorders>
            <w:shd w:val="clear" w:color="auto" w:fill="auto"/>
            <w:vAlign w:val="bottom"/>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Extraction Sums of Squared Loadings</w:t>
            </w:r>
          </w:p>
        </w:tc>
        <w:tc>
          <w:tcPr>
            <w:tcW w:w="1350" w:type="dxa"/>
            <w:tcBorders>
              <w:top w:val="nil"/>
              <w:left w:val="single" w:sz="8" w:space="0" w:color="E0E0E0"/>
              <w:bottom w:val="nil"/>
              <w:right w:val="nil"/>
            </w:tcBorders>
            <w:shd w:val="clear" w:color="auto" w:fill="auto"/>
            <w:vAlign w:val="bottom"/>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Rotation Sums of Squared Loadings</w:t>
            </w:r>
            <w:r w:rsidRPr="00FE30B9">
              <w:rPr>
                <w:rFonts w:cs="Times New Roman"/>
                <w:sz w:val="20"/>
                <w:szCs w:val="20"/>
                <w:vertAlign w:val="superscript"/>
              </w:rPr>
              <w:t>a</w:t>
            </w:r>
          </w:p>
        </w:tc>
      </w:tr>
      <w:tr w:rsidR="00BD1B84" w:rsidRPr="00A07AA7" w:rsidTr="003A25AE">
        <w:trPr>
          <w:cantSplit/>
          <w:trHeight w:val="248"/>
        </w:trPr>
        <w:tc>
          <w:tcPr>
            <w:tcW w:w="1053" w:type="dxa"/>
            <w:vMerge/>
            <w:tcBorders>
              <w:top w:val="nil"/>
              <w:left w:val="nil"/>
              <w:bottom w:val="nil"/>
              <w:right w:val="nil"/>
            </w:tcBorders>
            <w:shd w:val="clear" w:color="auto" w:fill="auto"/>
            <w:vAlign w:val="bottom"/>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657" w:type="dxa"/>
            <w:tcBorders>
              <w:top w:val="nil"/>
              <w:left w:val="nil"/>
              <w:bottom w:val="single" w:sz="8" w:space="0" w:color="152935"/>
              <w:right w:val="single" w:sz="8" w:space="0" w:color="E0E0E0"/>
            </w:tcBorders>
            <w:shd w:val="clear" w:color="auto" w:fill="auto"/>
            <w:vAlign w:val="bottom"/>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Total</w:t>
            </w:r>
          </w:p>
        </w:tc>
        <w:tc>
          <w:tcPr>
            <w:tcW w:w="1362" w:type="dxa"/>
            <w:tcBorders>
              <w:top w:val="nil"/>
              <w:left w:val="single" w:sz="8" w:space="0" w:color="E0E0E0"/>
              <w:bottom w:val="single" w:sz="8" w:space="0" w:color="152935"/>
              <w:right w:val="single" w:sz="8" w:space="0" w:color="E0E0E0"/>
            </w:tcBorders>
            <w:shd w:val="clear" w:color="auto" w:fill="auto"/>
            <w:vAlign w:val="bottom"/>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 of Variance</w:t>
            </w:r>
          </w:p>
        </w:tc>
        <w:tc>
          <w:tcPr>
            <w:tcW w:w="1158" w:type="dxa"/>
            <w:tcBorders>
              <w:top w:val="nil"/>
              <w:left w:val="single" w:sz="8" w:space="0" w:color="E0E0E0"/>
              <w:bottom w:val="single" w:sz="8" w:space="0" w:color="152935"/>
              <w:right w:val="nil"/>
            </w:tcBorders>
            <w:shd w:val="clear" w:color="auto" w:fill="auto"/>
            <w:vAlign w:val="bottom"/>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Cumulative %</w:t>
            </w:r>
          </w:p>
        </w:tc>
        <w:tc>
          <w:tcPr>
            <w:tcW w:w="720" w:type="dxa"/>
            <w:tcBorders>
              <w:top w:val="nil"/>
              <w:left w:val="single" w:sz="8" w:space="0" w:color="E0E0E0"/>
              <w:bottom w:val="single" w:sz="8" w:space="0" w:color="152935"/>
              <w:right w:val="single" w:sz="8" w:space="0" w:color="E0E0E0"/>
            </w:tcBorders>
            <w:shd w:val="clear" w:color="auto" w:fill="auto"/>
            <w:vAlign w:val="bottom"/>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Total</w:t>
            </w:r>
          </w:p>
        </w:tc>
        <w:tc>
          <w:tcPr>
            <w:tcW w:w="1080" w:type="dxa"/>
            <w:tcBorders>
              <w:top w:val="nil"/>
              <w:left w:val="single" w:sz="8" w:space="0" w:color="E0E0E0"/>
              <w:bottom w:val="single" w:sz="8" w:space="0" w:color="152935"/>
              <w:right w:val="single" w:sz="8" w:space="0" w:color="E0E0E0"/>
            </w:tcBorders>
            <w:shd w:val="clear" w:color="auto" w:fill="auto"/>
            <w:vAlign w:val="bottom"/>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 of Variance</w:t>
            </w:r>
          </w:p>
        </w:tc>
        <w:tc>
          <w:tcPr>
            <w:tcW w:w="810" w:type="dxa"/>
            <w:tcBorders>
              <w:top w:val="nil"/>
              <w:left w:val="single" w:sz="8" w:space="0" w:color="E0E0E0"/>
              <w:bottom w:val="single" w:sz="8" w:space="0" w:color="152935"/>
              <w:right w:val="nil"/>
            </w:tcBorders>
            <w:shd w:val="clear" w:color="auto" w:fill="auto"/>
            <w:vAlign w:val="bottom"/>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Cumulative %</w:t>
            </w:r>
          </w:p>
        </w:tc>
        <w:tc>
          <w:tcPr>
            <w:tcW w:w="1350" w:type="dxa"/>
            <w:tcBorders>
              <w:top w:val="nil"/>
              <w:left w:val="single" w:sz="8" w:space="0" w:color="E0E0E0"/>
              <w:bottom w:val="single" w:sz="8" w:space="0" w:color="152935"/>
              <w:right w:val="nil"/>
            </w:tcBorders>
            <w:shd w:val="clear" w:color="auto" w:fill="auto"/>
            <w:vAlign w:val="bottom"/>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Total</w:t>
            </w:r>
          </w:p>
        </w:tc>
      </w:tr>
      <w:tr w:rsidR="00BD1B84" w:rsidRPr="00A07AA7" w:rsidTr="003A25AE">
        <w:trPr>
          <w:cantSplit/>
          <w:trHeight w:val="259"/>
        </w:trPr>
        <w:tc>
          <w:tcPr>
            <w:tcW w:w="1053" w:type="dxa"/>
            <w:tcBorders>
              <w:top w:val="single" w:sz="8" w:space="0" w:color="152935"/>
              <w:left w:val="nil"/>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1</w:t>
            </w:r>
          </w:p>
        </w:tc>
        <w:tc>
          <w:tcPr>
            <w:tcW w:w="657" w:type="dxa"/>
            <w:tcBorders>
              <w:top w:val="single" w:sz="8" w:space="0" w:color="152935"/>
              <w:left w:val="nil"/>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5.896</w:t>
            </w:r>
          </w:p>
        </w:tc>
        <w:tc>
          <w:tcPr>
            <w:tcW w:w="1362" w:type="dxa"/>
            <w:tcBorders>
              <w:top w:val="single" w:sz="8" w:space="0" w:color="152935"/>
              <w:left w:val="single" w:sz="8" w:space="0" w:color="E0E0E0"/>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29.481</w:t>
            </w:r>
          </w:p>
        </w:tc>
        <w:tc>
          <w:tcPr>
            <w:tcW w:w="1158" w:type="dxa"/>
            <w:tcBorders>
              <w:top w:val="single" w:sz="8" w:space="0" w:color="152935"/>
              <w:left w:val="single" w:sz="8" w:space="0" w:color="E0E0E0"/>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29.481</w:t>
            </w:r>
          </w:p>
        </w:tc>
        <w:tc>
          <w:tcPr>
            <w:tcW w:w="720" w:type="dxa"/>
            <w:tcBorders>
              <w:top w:val="single" w:sz="8" w:space="0" w:color="152935"/>
              <w:left w:val="single" w:sz="8" w:space="0" w:color="E0E0E0"/>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5.896</w:t>
            </w:r>
          </w:p>
        </w:tc>
        <w:tc>
          <w:tcPr>
            <w:tcW w:w="1080" w:type="dxa"/>
            <w:tcBorders>
              <w:top w:val="single" w:sz="8" w:space="0" w:color="152935"/>
              <w:left w:val="single" w:sz="8" w:space="0" w:color="E0E0E0"/>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b/>
                <w:sz w:val="20"/>
                <w:szCs w:val="20"/>
              </w:rPr>
            </w:pPr>
            <w:r w:rsidRPr="00FE30B9">
              <w:rPr>
                <w:rFonts w:cs="Times New Roman"/>
                <w:b/>
                <w:sz w:val="20"/>
                <w:szCs w:val="20"/>
              </w:rPr>
              <w:t>29.481</w:t>
            </w:r>
          </w:p>
        </w:tc>
        <w:tc>
          <w:tcPr>
            <w:tcW w:w="810" w:type="dxa"/>
            <w:tcBorders>
              <w:top w:val="single" w:sz="8" w:space="0" w:color="152935"/>
              <w:left w:val="single" w:sz="8" w:space="0" w:color="E0E0E0"/>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29.481</w:t>
            </w:r>
          </w:p>
        </w:tc>
        <w:tc>
          <w:tcPr>
            <w:tcW w:w="1350" w:type="dxa"/>
            <w:tcBorders>
              <w:top w:val="single" w:sz="8" w:space="0" w:color="152935"/>
              <w:left w:val="single" w:sz="8" w:space="0" w:color="E0E0E0"/>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5.412</w:t>
            </w:r>
          </w:p>
        </w:tc>
      </w:tr>
      <w:tr w:rsidR="00BD1B84" w:rsidRPr="00A07AA7" w:rsidTr="003A25AE">
        <w:trPr>
          <w:cantSplit/>
          <w:trHeight w:val="248"/>
        </w:trPr>
        <w:tc>
          <w:tcPr>
            <w:tcW w:w="1053" w:type="dxa"/>
            <w:tcBorders>
              <w:top w:val="single" w:sz="8" w:space="0" w:color="AEAEAE"/>
              <w:left w:val="nil"/>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2</w:t>
            </w:r>
          </w:p>
        </w:tc>
        <w:tc>
          <w:tcPr>
            <w:tcW w:w="657" w:type="dxa"/>
            <w:tcBorders>
              <w:top w:val="single" w:sz="8" w:space="0" w:color="AEAEAE"/>
              <w:left w:val="nil"/>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2.289</w:t>
            </w:r>
          </w:p>
        </w:tc>
        <w:tc>
          <w:tcPr>
            <w:tcW w:w="1362" w:type="dxa"/>
            <w:tcBorders>
              <w:top w:val="single" w:sz="8" w:space="0" w:color="AEAEAE"/>
              <w:left w:val="single" w:sz="8" w:space="0" w:color="E0E0E0"/>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11.444</w:t>
            </w:r>
          </w:p>
        </w:tc>
        <w:tc>
          <w:tcPr>
            <w:tcW w:w="1158" w:type="dxa"/>
            <w:tcBorders>
              <w:top w:val="single" w:sz="8" w:space="0" w:color="AEAEAE"/>
              <w:left w:val="single" w:sz="8" w:space="0" w:color="E0E0E0"/>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40.925</w:t>
            </w:r>
          </w:p>
        </w:tc>
        <w:tc>
          <w:tcPr>
            <w:tcW w:w="720" w:type="dxa"/>
            <w:tcBorders>
              <w:top w:val="single" w:sz="8" w:space="0" w:color="AEAEAE"/>
              <w:left w:val="single" w:sz="8" w:space="0" w:color="E0E0E0"/>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2.289</w:t>
            </w:r>
          </w:p>
        </w:tc>
        <w:tc>
          <w:tcPr>
            <w:tcW w:w="1080" w:type="dxa"/>
            <w:tcBorders>
              <w:top w:val="single" w:sz="8" w:space="0" w:color="AEAEAE"/>
              <w:left w:val="single" w:sz="8" w:space="0" w:color="E0E0E0"/>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11.444</w:t>
            </w:r>
          </w:p>
        </w:tc>
        <w:tc>
          <w:tcPr>
            <w:tcW w:w="810" w:type="dxa"/>
            <w:tcBorders>
              <w:top w:val="single" w:sz="8" w:space="0" w:color="AEAEAE"/>
              <w:left w:val="single" w:sz="8" w:space="0" w:color="E0E0E0"/>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40.925</w:t>
            </w:r>
          </w:p>
        </w:tc>
        <w:tc>
          <w:tcPr>
            <w:tcW w:w="1350" w:type="dxa"/>
            <w:tcBorders>
              <w:top w:val="single" w:sz="8" w:space="0" w:color="AEAEAE"/>
              <w:left w:val="single" w:sz="8" w:space="0" w:color="E0E0E0"/>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2.741</w:t>
            </w:r>
          </w:p>
        </w:tc>
      </w:tr>
      <w:tr w:rsidR="00BD1B84" w:rsidRPr="00A07AA7" w:rsidTr="003A25AE">
        <w:trPr>
          <w:cantSplit/>
          <w:trHeight w:val="259"/>
        </w:trPr>
        <w:tc>
          <w:tcPr>
            <w:tcW w:w="1053" w:type="dxa"/>
            <w:tcBorders>
              <w:top w:val="single" w:sz="8" w:space="0" w:color="AEAEAE"/>
              <w:left w:val="nil"/>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3</w:t>
            </w:r>
          </w:p>
        </w:tc>
        <w:tc>
          <w:tcPr>
            <w:tcW w:w="657" w:type="dxa"/>
            <w:tcBorders>
              <w:top w:val="single" w:sz="8" w:space="0" w:color="AEAEAE"/>
              <w:left w:val="nil"/>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2.037</w:t>
            </w:r>
          </w:p>
        </w:tc>
        <w:tc>
          <w:tcPr>
            <w:tcW w:w="1362" w:type="dxa"/>
            <w:tcBorders>
              <w:top w:val="single" w:sz="8" w:space="0" w:color="AEAEAE"/>
              <w:left w:val="single" w:sz="8" w:space="0" w:color="E0E0E0"/>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10.187</w:t>
            </w:r>
          </w:p>
        </w:tc>
        <w:tc>
          <w:tcPr>
            <w:tcW w:w="1158" w:type="dxa"/>
            <w:tcBorders>
              <w:top w:val="single" w:sz="8" w:space="0" w:color="AEAEAE"/>
              <w:left w:val="single" w:sz="8" w:space="0" w:color="E0E0E0"/>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51.112</w:t>
            </w:r>
          </w:p>
        </w:tc>
        <w:tc>
          <w:tcPr>
            <w:tcW w:w="720" w:type="dxa"/>
            <w:tcBorders>
              <w:top w:val="single" w:sz="8" w:space="0" w:color="AEAEAE"/>
              <w:left w:val="single" w:sz="8" w:space="0" w:color="E0E0E0"/>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2.037</w:t>
            </w:r>
          </w:p>
        </w:tc>
        <w:tc>
          <w:tcPr>
            <w:tcW w:w="1080" w:type="dxa"/>
            <w:tcBorders>
              <w:top w:val="single" w:sz="8" w:space="0" w:color="AEAEAE"/>
              <w:left w:val="single" w:sz="8" w:space="0" w:color="E0E0E0"/>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10.187</w:t>
            </w:r>
          </w:p>
        </w:tc>
        <w:tc>
          <w:tcPr>
            <w:tcW w:w="810" w:type="dxa"/>
            <w:tcBorders>
              <w:top w:val="single" w:sz="8" w:space="0" w:color="AEAEAE"/>
              <w:left w:val="single" w:sz="8" w:space="0" w:color="E0E0E0"/>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51.112</w:t>
            </w:r>
          </w:p>
        </w:tc>
        <w:tc>
          <w:tcPr>
            <w:tcW w:w="1350" w:type="dxa"/>
            <w:tcBorders>
              <w:top w:val="single" w:sz="8" w:space="0" w:color="AEAEAE"/>
              <w:left w:val="single" w:sz="8" w:space="0" w:color="E0E0E0"/>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2.480</w:t>
            </w:r>
          </w:p>
        </w:tc>
      </w:tr>
      <w:tr w:rsidR="00BD1B84" w:rsidRPr="00A07AA7" w:rsidTr="003A25AE">
        <w:trPr>
          <w:cantSplit/>
          <w:trHeight w:val="259"/>
        </w:trPr>
        <w:tc>
          <w:tcPr>
            <w:tcW w:w="1053" w:type="dxa"/>
            <w:tcBorders>
              <w:top w:val="single" w:sz="8" w:space="0" w:color="AEAEAE"/>
              <w:left w:val="nil"/>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4</w:t>
            </w:r>
          </w:p>
        </w:tc>
        <w:tc>
          <w:tcPr>
            <w:tcW w:w="657" w:type="dxa"/>
            <w:tcBorders>
              <w:top w:val="single" w:sz="8" w:space="0" w:color="AEAEAE"/>
              <w:left w:val="nil"/>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1.762</w:t>
            </w:r>
          </w:p>
        </w:tc>
        <w:tc>
          <w:tcPr>
            <w:tcW w:w="1362" w:type="dxa"/>
            <w:tcBorders>
              <w:top w:val="single" w:sz="8" w:space="0" w:color="AEAEAE"/>
              <w:left w:val="single" w:sz="8" w:space="0" w:color="E0E0E0"/>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8.812</w:t>
            </w:r>
          </w:p>
        </w:tc>
        <w:tc>
          <w:tcPr>
            <w:tcW w:w="1158" w:type="dxa"/>
            <w:tcBorders>
              <w:top w:val="single" w:sz="8" w:space="0" w:color="AEAEAE"/>
              <w:left w:val="single" w:sz="8" w:space="0" w:color="E0E0E0"/>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59.924</w:t>
            </w:r>
          </w:p>
        </w:tc>
        <w:tc>
          <w:tcPr>
            <w:tcW w:w="720" w:type="dxa"/>
            <w:tcBorders>
              <w:top w:val="single" w:sz="8" w:space="0" w:color="AEAEAE"/>
              <w:left w:val="single" w:sz="8" w:space="0" w:color="E0E0E0"/>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1.762</w:t>
            </w:r>
          </w:p>
        </w:tc>
        <w:tc>
          <w:tcPr>
            <w:tcW w:w="1080" w:type="dxa"/>
            <w:tcBorders>
              <w:top w:val="single" w:sz="8" w:space="0" w:color="AEAEAE"/>
              <w:left w:val="single" w:sz="8" w:space="0" w:color="E0E0E0"/>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8.812</w:t>
            </w:r>
          </w:p>
        </w:tc>
        <w:tc>
          <w:tcPr>
            <w:tcW w:w="810" w:type="dxa"/>
            <w:tcBorders>
              <w:top w:val="single" w:sz="8" w:space="0" w:color="AEAEAE"/>
              <w:left w:val="single" w:sz="8" w:space="0" w:color="E0E0E0"/>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59.924</w:t>
            </w:r>
          </w:p>
        </w:tc>
        <w:tc>
          <w:tcPr>
            <w:tcW w:w="1350" w:type="dxa"/>
            <w:tcBorders>
              <w:top w:val="single" w:sz="8" w:space="0" w:color="AEAEAE"/>
              <w:left w:val="single" w:sz="8" w:space="0" w:color="E0E0E0"/>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1.759</w:t>
            </w:r>
          </w:p>
        </w:tc>
      </w:tr>
      <w:tr w:rsidR="00BD1B84" w:rsidRPr="00A07AA7" w:rsidTr="003A25AE">
        <w:trPr>
          <w:cantSplit/>
          <w:trHeight w:val="248"/>
        </w:trPr>
        <w:tc>
          <w:tcPr>
            <w:tcW w:w="1053" w:type="dxa"/>
            <w:tcBorders>
              <w:top w:val="single" w:sz="8" w:space="0" w:color="AEAEAE"/>
              <w:left w:val="nil"/>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5</w:t>
            </w:r>
          </w:p>
        </w:tc>
        <w:tc>
          <w:tcPr>
            <w:tcW w:w="657" w:type="dxa"/>
            <w:tcBorders>
              <w:top w:val="single" w:sz="8" w:space="0" w:color="AEAEAE"/>
              <w:left w:val="nil"/>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1.160</w:t>
            </w:r>
          </w:p>
        </w:tc>
        <w:tc>
          <w:tcPr>
            <w:tcW w:w="1362" w:type="dxa"/>
            <w:tcBorders>
              <w:top w:val="single" w:sz="8" w:space="0" w:color="AEAEAE"/>
              <w:left w:val="single" w:sz="8" w:space="0" w:color="E0E0E0"/>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5.800</w:t>
            </w:r>
          </w:p>
        </w:tc>
        <w:tc>
          <w:tcPr>
            <w:tcW w:w="1158" w:type="dxa"/>
            <w:tcBorders>
              <w:top w:val="single" w:sz="8" w:space="0" w:color="AEAEAE"/>
              <w:left w:val="single" w:sz="8" w:space="0" w:color="E0E0E0"/>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65.724</w:t>
            </w:r>
          </w:p>
        </w:tc>
        <w:tc>
          <w:tcPr>
            <w:tcW w:w="720" w:type="dxa"/>
            <w:tcBorders>
              <w:top w:val="single" w:sz="8" w:space="0" w:color="AEAEAE"/>
              <w:left w:val="single" w:sz="8" w:space="0" w:color="E0E0E0"/>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1.160</w:t>
            </w:r>
          </w:p>
        </w:tc>
        <w:tc>
          <w:tcPr>
            <w:tcW w:w="1080" w:type="dxa"/>
            <w:tcBorders>
              <w:top w:val="single" w:sz="8" w:space="0" w:color="AEAEAE"/>
              <w:left w:val="single" w:sz="8" w:space="0" w:color="E0E0E0"/>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5.800</w:t>
            </w:r>
          </w:p>
        </w:tc>
        <w:tc>
          <w:tcPr>
            <w:tcW w:w="810" w:type="dxa"/>
            <w:tcBorders>
              <w:top w:val="single" w:sz="8" w:space="0" w:color="AEAEAE"/>
              <w:left w:val="single" w:sz="8" w:space="0" w:color="E0E0E0"/>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65.724</w:t>
            </w:r>
          </w:p>
        </w:tc>
        <w:tc>
          <w:tcPr>
            <w:tcW w:w="1350" w:type="dxa"/>
            <w:tcBorders>
              <w:top w:val="single" w:sz="8" w:space="0" w:color="AEAEAE"/>
              <w:left w:val="single" w:sz="8" w:space="0" w:color="E0E0E0"/>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1.633</w:t>
            </w:r>
          </w:p>
        </w:tc>
      </w:tr>
      <w:tr w:rsidR="00BD1B84" w:rsidRPr="00A07AA7" w:rsidTr="003A25AE">
        <w:trPr>
          <w:cantSplit/>
          <w:trHeight w:val="259"/>
        </w:trPr>
        <w:tc>
          <w:tcPr>
            <w:tcW w:w="1053" w:type="dxa"/>
            <w:tcBorders>
              <w:top w:val="single" w:sz="8" w:space="0" w:color="AEAEAE"/>
              <w:left w:val="nil"/>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6</w:t>
            </w:r>
          </w:p>
        </w:tc>
        <w:tc>
          <w:tcPr>
            <w:tcW w:w="657" w:type="dxa"/>
            <w:tcBorders>
              <w:top w:val="single" w:sz="8" w:space="0" w:color="AEAEAE"/>
              <w:left w:val="nil"/>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1.038</w:t>
            </w:r>
          </w:p>
        </w:tc>
        <w:tc>
          <w:tcPr>
            <w:tcW w:w="1362" w:type="dxa"/>
            <w:tcBorders>
              <w:top w:val="single" w:sz="8" w:space="0" w:color="AEAEAE"/>
              <w:left w:val="single" w:sz="8" w:space="0" w:color="E0E0E0"/>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5.188</w:t>
            </w:r>
          </w:p>
        </w:tc>
        <w:tc>
          <w:tcPr>
            <w:tcW w:w="1158" w:type="dxa"/>
            <w:tcBorders>
              <w:top w:val="single" w:sz="8" w:space="0" w:color="AEAEAE"/>
              <w:left w:val="single" w:sz="8" w:space="0" w:color="E0E0E0"/>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70.912</w:t>
            </w:r>
          </w:p>
        </w:tc>
        <w:tc>
          <w:tcPr>
            <w:tcW w:w="720" w:type="dxa"/>
            <w:tcBorders>
              <w:top w:val="single" w:sz="8" w:space="0" w:color="AEAEAE"/>
              <w:left w:val="single" w:sz="8" w:space="0" w:color="E0E0E0"/>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1.038</w:t>
            </w:r>
          </w:p>
        </w:tc>
        <w:tc>
          <w:tcPr>
            <w:tcW w:w="1080" w:type="dxa"/>
            <w:tcBorders>
              <w:top w:val="single" w:sz="8" w:space="0" w:color="AEAEAE"/>
              <w:left w:val="single" w:sz="8" w:space="0" w:color="E0E0E0"/>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5.188</w:t>
            </w:r>
          </w:p>
        </w:tc>
        <w:tc>
          <w:tcPr>
            <w:tcW w:w="810" w:type="dxa"/>
            <w:tcBorders>
              <w:top w:val="single" w:sz="8" w:space="0" w:color="AEAEAE"/>
              <w:left w:val="single" w:sz="8" w:space="0" w:color="E0E0E0"/>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b/>
                <w:sz w:val="20"/>
                <w:szCs w:val="20"/>
              </w:rPr>
            </w:pPr>
            <w:r w:rsidRPr="00FE30B9">
              <w:rPr>
                <w:rFonts w:cs="Times New Roman"/>
                <w:b/>
                <w:sz w:val="20"/>
                <w:szCs w:val="20"/>
              </w:rPr>
              <w:t>70.912</w:t>
            </w:r>
          </w:p>
        </w:tc>
        <w:tc>
          <w:tcPr>
            <w:tcW w:w="1350" w:type="dxa"/>
            <w:tcBorders>
              <w:top w:val="single" w:sz="8" w:space="0" w:color="AEAEAE"/>
              <w:left w:val="single" w:sz="8" w:space="0" w:color="E0E0E0"/>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1.423</w:t>
            </w:r>
          </w:p>
        </w:tc>
      </w:tr>
      <w:tr w:rsidR="00BD1B84" w:rsidRPr="00A07AA7" w:rsidTr="003A25AE">
        <w:trPr>
          <w:cantSplit/>
          <w:trHeight w:val="259"/>
        </w:trPr>
        <w:tc>
          <w:tcPr>
            <w:tcW w:w="1053" w:type="dxa"/>
            <w:tcBorders>
              <w:top w:val="single" w:sz="8" w:space="0" w:color="AEAEAE"/>
              <w:left w:val="nil"/>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7</w:t>
            </w:r>
          </w:p>
        </w:tc>
        <w:tc>
          <w:tcPr>
            <w:tcW w:w="657" w:type="dxa"/>
            <w:tcBorders>
              <w:top w:val="single" w:sz="8" w:space="0" w:color="AEAEAE"/>
              <w:left w:val="nil"/>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.894</w:t>
            </w:r>
          </w:p>
        </w:tc>
        <w:tc>
          <w:tcPr>
            <w:tcW w:w="1362" w:type="dxa"/>
            <w:tcBorders>
              <w:top w:val="single" w:sz="8" w:space="0" w:color="AEAEAE"/>
              <w:left w:val="single" w:sz="8" w:space="0" w:color="E0E0E0"/>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4.469</w:t>
            </w:r>
          </w:p>
        </w:tc>
        <w:tc>
          <w:tcPr>
            <w:tcW w:w="1158" w:type="dxa"/>
            <w:tcBorders>
              <w:top w:val="single" w:sz="8" w:space="0" w:color="AEAEAE"/>
              <w:left w:val="single" w:sz="8" w:space="0" w:color="E0E0E0"/>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75.381</w:t>
            </w:r>
          </w:p>
        </w:tc>
        <w:tc>
          <w:tcPr>
            <w:tcW w:w="720" w:type="dxa"/>
            <w:tcBorders>
              <w:top w:val="single" w:sz="8" w:space="0" w:color="AEAEAE"/>
              <w:left w:val="single" w:sz="8" w:space="0" w:color="E0E0E0"/>
              <w:bottom w:val="single" w:sz="8" w:space="0" w:color="AEAEAE"/>
              <w:right w:val="single" w:sz="8" w:space="0" w:color="E0E0E0"/>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1080" w:type="dxa"/>
            <w:tcBorders>
              <w:top w:val="single" w:sz="8" w:space="0" w:color="AEAEAE"/>
              <w:left w:val="single" w:sz="8" w:space="0" w:color="E0E0E0"/>
              <w:bottom w:val="single" w:sz="8" w:space="0" w:color="AEAEAE"/>
              <w:right w:val="single" w:sz="8" w:space="0" w:color="E0E0E0"/>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810" w:type="dxa"/>
            <w:tcBorders>
              <w:top w:val="single" w:sz="8" w:space="0" w:color="AEAEAE"/>
              <w:left w:val="single" w:sz="8" w:space="0" w:color="E0E0E0"/>
              <w:bottom w:val="single" w:sz="8" w:space="0" w:color="AEAEAE"/>
              <w:right w:val="nil"/>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1350" w:type="dxa"/>
            <w:tcBorders>
              <w:top w:val="single" w:sz="8" w:space="0" w:color="AEAEAE"/>
              <w:left w:val="single" w:sz="8" w:space="0" w:color="E0E0E0"/>
              <w:bottom w:val="single" w:sz="8" w:space="0" w:color="AEAEAE"/>
              <w:right w:val="nil"/>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r>
      <w:tr w:rsidR="00BD1B84" w:rsidRPr="00A07AA7" w:rsidTr="003A25AE">
        <w:trPr>
          <w:cantSplit/>
          <w:trHeight w:val="248"/>
        </w:trPr>
        <w:tc>
          <w:tcPr>
            <w:tcW w:w="1053" w:type="dxa"/>
            <w:tcBorders>
              <w:top w:val="single" w:sz="8" w:space="0" w:color="AEAEAE"/>
              <w:left w:val="nil"/>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8</w:t>
            </w:r>
          </w:p>
        </w:tc>
        <w:tc>
          <w:tcPr>
            <w:tcW w:w="657" w:type="dxa"/>
            <w:tcBorders>
              <w:top w:val="single" w:sz="8" w:space="0" w:color="AEAEAE"/>
              <w:left w:val="nil"/>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.861</w:t>
            </w:r>
          </w:p>
        </w:tc>
        <w:tc>
          <w:tcPr>
            <w:tcW w:w="1362" w:type="dxa"/>
            <w:tcBorders>
              <w:top w:val="single" w:sz="8" w:space="0" w:color="AEAEAE"/>
              <w:left w:val="single" w:sz="8" w:space="0" w:color="E0E0E0"/>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4.303</w:t>
            </w:r>
          </w:p>
        </w:tc>
        <w:tc>
          <w:tcPr>
            <w:tcW w:w="1158" w:type="dxa"/>
            <w:tcBorders>
              <w:top w:val="single" w:sz="8" w:space="0" w:color="AEAEAE"/>
              <w:left w:val="single" w:sz="8" w:space="0" w:color="E0E0E0"/>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79.684</w:t>
            </w:r>
          </w:p>
        </w:tc>
        <w:tc>
          <w:tcPr>
            <w:tcW w:w="720" w:type="dxa"/>
            <w:tcBorders>
              <w:top w:val="single" w:sz="8" w:space="0" w:color="AEAEAE"/>
              <w:left w:val="single" w:sz="8" w:space="0" w:color="E0E0E0"/>
              <w:bottom w:val="single" w:sz="8" w:space="0" w:color="AEAEAE"/>
              <w:right w:val="single" w:sz="8" w:space="0" w:color="E0E0E0"/>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1080" w:type="dxa"/>
            <w:tcBorders>
              <w:top w:val="single" w:sz="8" w:space="0" w:color="AEAEAE"/>
              <w:left w:val="single" w:sz="8" w:space="0" w:color="E0E0E0"/>
              <w:bottom w:val="single" w:sz="8" w:space="0" w:color="AEAEAE"/>
              <w:right w:val="single" w:sz="8" w:space="0" w:color="E0E0E0"/>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810" w:type="dxa"/>
            <w:tcBorders>
              <w:top w:val="single" w:sz="8" w:space="0" w:color="AEAEAE"/>
              <w:left w:val="single" w:sz="8" w:space="0" w:color="E0E0E0"/>
              <w:bottom w:val="single" w:sz="8" w:space="0" w:color="AEAEAE"/>
              <w:right w:val="nil"/>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1350" w:type="dxa"/>
            <w:tcBorders>
              <w:top w:val="single" w:sz="8" w:space="0" w:color="AEAEAE"/>
              <w:left w:val="single" w:sz="8" w:space="0" w:color="E0E0E0"/>
              <w:bottom w:val="single" w:sz="8" w:space="0" w:color="AEAEAE"/>
              <w:right w:val="nil"/>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r>
      <w:tr w:rsidR="00BD1B84" w:rsidRPr="00A07AA7" w:rsidTr="003A25AE">
        <w:trPr>
          <w:cantSplit/>
          <w:trHeight w:val="259"/>
        </w:trPr>
        <w:tc>
          <w:tcPr>
            <w:tcW w:w="1053" w:type="dxa"/>
            <w:tcBorders>
              <w:top w:val="single" w:sz="8" w:space="0" w:color="AEAEAE"/>
              <w:left w:val="nil"/>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9</w:t>
            </w:r>
          </w:p>
        </w:tc>
        <w:tc>
          <w:tcPr>
            <w:tcW w:w="657" w:type="dxa"/>
            <w:tcBorders>
              <w:top w:val="single" w:sz="8" w:space="0" w:color="AEAEAE"/>
              <w:left w:val="nil"/>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.791</w:t>
            </w:r>
          </w:p>
        </w:tc>
        <w:tc>
          <w:tcPr>
            <w:tcW w:w="1362" w:type="dxa"/>
            <w:tcBorders>
              <w:top w:val="single" w:sz="8" w:space="0" w:color="AEAEAE"/>
              <w:left w:val="single" w:sz="8" w:space="0" w:color="E0E0E0"/>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3.955</w:t>
            </w:r>
          </w:p>
        </w:tc>
        <w:tc>
          <w:tcPr>
            <w:tcW w:w="1158" w:type="dxa"/>
            <w:tcBorders>
              <w:top w:val="single" w:sz="8" w:space="0" w:color="AEAEAE"/>
              <w:left w:val="single" w:sz="8" w:space="0" w:color="E0E0E0"/>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83.639</w:t>
            </w:r>
          </w:p>
        </w:tc>
        <w:tc>
          <w:tcPr>
            <w:tcW w:w="720" w:type="dxa"/>
            <w:tcBorders>
              <w:top w:val="single" w:sz="8" w:space="0" w:color="AEAEAE"/>
              <w:left w:val="single" w:sz="8" w:space="0" w:color="E0E0E0"/>
              <w:bottom w:val="single" w:sz="8" w:space="0" w:color="AEAEAE"/>
              <w:right w:val="single" w:sz="8" w:space="0" w:color="E0E0E0"/>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1080" w:type="dxa"/>
            <w:tcBorders>
              <w:top w:val="single" w:sz="8" w:space="0" w:color="AEAEAE"/>
              <w:left w:val="single" w:sz="8" w:space="0" w:color="E0E0E0"/>
              <w:bottom w:val="single" w:sz="8" w:space="0" w:color="AEAEAE"/>
              <w:right w:val="single" w:sz="8" w:space="0" w:color="E0E0E0"/>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810" w:type="dxa"/>
            <w:tcBorders>
              <w:top w:val="single" w:sz="8" w:space="0" w:color="AEAEAE"/>
              <w:left w:val="single" w:sz="8" w:space="0" w:color="E0E0E0"/>
              <w:bottom w:val="single" w:sz="8" w:space="0" w:color="AEAEAE"/>
              <w:right w:val="nil"/>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1350" w:type="dxa"/>
            <w:tcBorders>
              <w:top w:val="single" w:sz="8" w:space="0" w:color="AEAEAE"/>
              <w:left w:val="single" w:sz="8" w:space="0" w:color="E0E0E0"/>
              <w:bottom w:val="single" w:sz="8" w:space="0" w:color="AEAEAE"/>
              <w:right w:val="nil"/>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r>
      <w:tr w:rsidR="00BD1B84" w:rsidRPr="00A07AA7" w:rsidTr="003A25AE">
        <w:trPr>
          <w:cantSplit/>
          <w:trHeight w:val="259"/>
        </w:trPr>
        <w:tc>
          <w:tcPr>
            <w:tcW w:w="1053" w:type="dxa"/>
            <w:tcBorders>
              <w:top w:val="single" w:sz="8" w:space="0" w:color="AEAEAE"/>
              <w:left w:val="nil"/>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10</w:t>
            </w:r>
          </w:p>
        </w:tc>
        <w:tc>
          <w:tcPr>
            <w:tcW w:w="657" w:type="dxa"/>
            <w:tcBorders>
              <w:top w:val="single" w:sz="8" w:space="0" w:color="AEAEAE"/>
              <w:left w:val="nil"/>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.721</w:t>
            </w:r>
          </w:p>
        </w:tc>
        <w:tc>
          <w:tcPr>
            <w:tcW w:w="1362" w:type="dxa"/>
            <w:tcBorders>
              <w:top w:val="single" w:sz="8" w:space="0" w:color="AEAEAE"/>
              <w:left w:val="single" w:sz="8" w:space="0" w:color="E0E0E0"/>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3.603</w:t>
            </w:r>
          </w:p>
        </w:tc>
        <w:tc>
          <w:tcPr>
            <w:tcW w:w="1158" w:type="dxa"/>
            <w:tcBorders>
              <w:top w:val="single" w:sz="8" w:space="0" w:color="AEAEAE"/>
              <w:left w:val="single" w:sz="8" w:space="0" w:color="E0E0E0"/>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87.242</w:t>
            </w:r>
          </w:p>
        </w:tc>
        <w:tc>
          <w:tcPr>
            <w:tcW w:w="720" w:type="dxa"/>
            <w:tcBorders>
              <w:top w:val="single" w:sz="8" w:space="0" w:color="AEAEAE"/>
              <w:left w:val="single" w:sz="8" w:space="0" w:color="E0E0E0"/>
              <w:bottom w:val="single" w:sz="8" w:space="0" w:color="AEAEAE"/>
              <w:right w:val="single" w:sz="8" w:space="0" w:color="E0E0E0"/>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1080" w:type="dxa"/>
            <w:tcBorders>
              <w:top w:val="single" w:sz="8" w:space="0" w:color="AEAEAE"/>
              <w:left w:val="single" w:sz="8" w:space="0" w:color="E0E0E0"/>
              <w:bottom w:val="single" w:sz="8" w:space="0" w:color="AEAEAE"/>
              <w:right w:val="single" w:sz="8" w:space="0" w:color="E0E0E0"/>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810" w:type="dxa"/>
            <w:tcBorders>
              <w:top w:val="single" w:sz="8" w:space="0" w:color="AEAEAE"/>
              <w:left w:val="single" w:sz="8" w:space="0" w:color="E0E0E0"/>
              <w:bottom w:val="single" w:sz="8" w:space="0" w:color="AEAEAE"/>
              <w:right w:val="nil"/>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1350" w:type="dxa"/>
            <w:tcBorders>
              <w:top w:val="single" w:sz="8" w:space="0" w:color="AEAEAE"/>
              <w:left w:val="single" w:sz="8" w:space="0" w:color="E0E0E0"/>
              <w:bottom w:val="single" w:sz="8" w:space="0" w:color="AEAEAE"/>
              <w:right w:val="nil"/>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r>
      <w:tr w:rsidR="00BD1B84" w:rsidRPr="00A07AA7" w:rsidTr="003A25AE">
        <w:trPr>
          <w:cantSplit/>
          <w:trHeight w:val="248"/>
        </w:trPr>
        <w:tc>
          <w:tcPr>
            <w:tcW w:w="1053" w:type="dxa"/>
            <w:tcBorders>
              <w:top w:val="single" w:sz="8" w:space="0" w:color="AEAEAE"/>
              <w:left w:val="nil"/>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11</w:t>
            </w:r>
          </w:p>
        </w:tc>
        <w:tc>
          <w:tcPr>
            <w:tcW w:w="657" w:type="dxa"/>
            <w:tcBorders>
              <w:top w:val="single" w:sz="8" w:space="0" w:color="AEAEAE"/>
              <w:left w:val="nil"/>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.568</w:t>
            </w:r>
          </w:p>
        </w:tc>
        <w:tc>
          <w:tcPr>
            <w:tcW w:w="1362" w:type="dxa"/>
            <w:tcBorders>
              <w:top w:val="single" w:sz="8" w:space="0" w:color="AEAEAE"/>
              <w:left w:val="single" w:sz="8" w:space="0" w:color="E0E0E0"/>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2.839</w:t>
            </w:r>
          </w:p>
        </w:tc>
        <w:tc>
          <w:tcPr>
            <w:tcW w:w="1158" w:type="dxa"/>
            <w:tcBorders>
              <w:top w:val="single" w:sz="8" w:space="0" w:color="AEAEAE"/>
              <w:left w:val="single" w:sz="8" w:space="0" w:color="E0E0E0"/>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90.081</w:t>
            </w:r>
          </w:p>
        </w:tc>
        <w:tc>
          <w:tcPr>
            <w:tcW w:w="720" w:type="dxa"/>
            <w:tcBorders>
              <w:top w:val="single" w:sz="8" w:space="0" w:color="AEAEAE"/>
              <w:left w:val="single" w:sz="8" w:space="0" w:color="E0E0E0"/>
              <w:bottom w:val="single" w:sz="8" w:space="0" w:color="AEAEAE"/>
              <w:right w:val="single" w:sz="8" w:space="0" w:color="E0E0E0"/>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1080" w:type="dxa"/>
            <w:tcBorders>
              <w:top w:val="single" w:sz="8" w:space="0" w:color="AEAEAE"/>
              <w:left w:val="single" w:sz="8" w:space="0" w:color="E0E0E0"/>
              <w:bottom w:val="single" w:sz="8" w:space="0" w:color="AEAEAE"/>
              <w:right w:val="single" w:sz="8" w:space="0" w:color="E0E0E0"/>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810" w:type="dxa"/>
            <w:tcBorders>
              <w:top w:val="single" w:sz="8" w:space="0" w:color="AEAEAE"/>
              <w:left w:val="single" w:sz="8" w:space="0" w:color="E0E0E0"/>
              <w:bottom w:val="single" w:sz="8" w:space="0" w:color="AEAEAE"/>
              <w:right w:val="nil"/>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1350" w:type="dxa"/>
            <w:tcBorders>
              <w:top w:val="single" w:sz="8" w:space="0" w:color="AEAEAE"/>
              <w:left w:val="single" w:sz="8" w:space="0" w:color="E0E0E0"/>
              <w:bottom w:val="single" w:sz="8" w:space="0" w:color="AEAEAE"/>
              <w:right w:val="nil"/>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r>
      <w:tr w:rsidR="00BD1B84" w:rsidRPr="00A07AA7" w:rsidTr="003A25AE">
        <w:trPr>
          <w:cantSplit/>
          <w:trHeight w:val="259"/>
        </w:trPr>
        <w:tc>
          <w:tcPr>
            <w:tcW w:w="1053" w:type="dxa"/>
            <w:tcBorders>
              <w:top w:val="single" w:sz="8" w:space="0" w:color="AEAEAE"/>
              <w:left w:val="nil"/>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12</w:t>
            </w:r>
          </w:p>
        </w:tc>
        <w:tc>
          <w:tcPr>
            <w:tcW w:w="657" w:type="dxa"/>
            <w:tcBorders>
              <w:top w:val="single" w:sz="8" w:space="0" w:color="AEAEAE"/>
              <w:left w:val="nil"/>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.489</w:t>
            </w:r>
          </w:p>
        </w:tc>
        <w:tc>
          <w:tcPr>
            <w:tcW w:w="1362" w:type="dxa"/>
            <w:tcBorders>
              <w:top w:val="single" w:sz="8" w:space="0" w:color="AEAEAE"/>
              <w:left w:val="single" w:sz="8" w:space="0" w:color="E0E0E0"/>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2.444</w:t>
            </w:r>
          </w:p>
        </w:tc>
        <w:tc>
          <w:tcPr>
            <w:tcW w:w="1158" w:type="dxa"/>
            <w:tcBorders>
              <w:top w:val="single" w:sz="8" w:space="0" w:color="AEAEAE"/>
              <w:left w:val="single" w:sz="8" w:space="0" w:color="E0E0E0"/>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92.525</w:t>
            </w:r>
          </w:p>
        </w:tc>
        <w:tc>
          <w:tcPr>
            <w:tcW w:w="720" w:type="dxa"/>
            <w:tcBorders>
              <w:top w:val="single" w:sz="8" w:space="0" w:color="AEAEAE"/>
              <w:left w:val="single" w:sz="8" w:space="0" w:color="E0E0E0"/>
              <w:bottom w:val="single" w:sz="8" w:space="0" w:color="AEAEAE"/>
              <w:right w:val="single" w:sz="8" w:space="0" w:color="E0E0E0"/>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1080" w:type="dxa"/>
            <w:tcBorders>
              <w:top w:val="single" w:sz="8" w:space="0" w:color="AEAEAE"/>
              <w:left w:val="single" w:sz="8" w:space="0" w:color="E0E0E0"/>
              <w:bottom w:val="single" w:sz="8" w:space="0" w:color="AEAEAE"/>
              <w:right w:val="single" w:sz="8" w:space="0" w:color="E0E0E0"/>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810" w:type="dxa"/>
            <w:tcBorders>
              <w:top w:val="single" w:sz="8" w:space="0" w:color="AEAEAE"/>
              <w:left w:val="single" w:sz="8" w:space="0" w:color="E0E0E0"/>
              <w:bottom w:val="single" w:sz="8" w:space="0" w:color="AEAEAE"/>
              <w:right w:val="nil"/>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1350" w:type="dxa"/>
            <w:tcBorders>
              <w:top w:val="single" w:sz="8" w:space="0" w:color="AEAEAE"/>
              <w:left w:val="single" w:sz="8" w:space="0" w:color="E0E0E0"/>
              <w:bottom w:val="single" w:sz="8" w:space="0" w:color="AEAEAE"/>
              <w:right w:val="nil"/>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r>
      <w:tr w:rsidR="00BD1B84" w:rsidRPr="00A07AA7" w:rsidTr="003A25AE">
        <w:trPr>
          <w:cantSplit/>
          <w:trHeight w:val="259"/>
        </w:trPr>
        <w:tc>
          <w:tcPr>
            <w:tcW w:w="1053" w:type="dxa"/>
            <w:tcBorders>
              <w:top w:val="single" w:sz="8" w:space="0" w:color="AEAEAE"/>
              <w:left w:val="nil"/>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13</w:t>
            </w:r>
          </w:p>
        </w:tc>
        <w:tc>
          <w:tcPr>
            <w:tcW w:w="657" w:type="dxa"/>
            <w:tcBorders>
              <w:top w:val="single" w:sz="8" w:space="0" w:color="AEAEAE"/>
              <w:left w:val="nil"/>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.449</w:t>
            </w:r>
          </w:p>
        </w:tc>
        <w:tc>
          <w:tcPr>
            <w:tcW w:w="1362" w:type="dxa"/>
            <w:tcBorders>
              <w:top w:val="single" w:sz="8" w:space="0" w:color="AEAEAE"/>
              <w:left w:val="single" w:sz="8" w:space="0" w:color="E0E0E0"/>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2.243</w:t>
            </w:r>
          </w:p>
        </w:tc>
        <w:tc>
          <w:tcPr>
            <w:tcW w:w="1158" w:type="dxa"/>
            <w:tcBorders>
              <w:top w:val="single" w:sz="8" w:space="0" w:color="AEAEAE"/>
              <w:left w:val="single" w:sz="8" w:space="0" w:color="E0E0E0"/>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94.769</w:t>
            </w:r>
          </w:p>
        </w:tc>
        <w:tc>
          <w:tcPr>
            <w:tcW w:w="720" w:type="dxa"/>
            <w:tcBorders>
              <w:top w:val="single" w:sz="8" w:space="0" w:color="AEAEAE"/>
              <w:left w:val="single" w:sz="8" w:space="0" w:color="E0E0E0"/>
              <w:bottom w:val="single" w:sz="8" w:space="0" w:color="AEAEAE"/>
              <w:right w:val="single" w:sz="8" w:space="0" w:color="E0E0E0"/>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1080" w:type="dxa"/>
            <w:tcBorders>
              <w:top w:val="single" w:sz="8" w:space="0" w:color="AEAEAE"/>
              <w:left w:val="single" w:sz="8" w:space="0" w:color="E0E0E0"/>
              <w:bottom w:val="single" w:sz="8" w:space="0" w:color="AEAEAE"/>
              <w:right w:val="single" w:sz="8" w:space="0" w:color="E0E0E0"/>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810" w:type="dxa"/>
            <w:tcBorders>
              <w:top w:val="single" w:sz="8" w:space="0" w:color="AEAEAE"/>
              <w:left w:val="single" w:sz="8" w:space="0" w:color="E0E0E0"/>
              <w:bottom w:val="single" w:sz="8" w:space="0" w:color="AEAEAE"/>
              <w:right w:val="nil"/>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1350" w:type="dxa"/>
            <w:tcBorders>
              <w:top w:val="single" w:sz="8" w:space="0" w:color="AEAEAE"/>
              <w:left w:val="single" w:sz="8" w:space="0" w:color="E0E0E0"/>
              <w:bottom w:val="single" w:sz="8" w:space="0" w:color="AEAEAE"/>
              <w:right w:val="nil"/>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r>
      <w:tr w:rsidR="00BD1B84" w:rsidRPr="00A07AA7" w:rsidTr="003A25AE">
        <w:trPr>
          <w:cantSplit/>
          <w:trHeight w:val="248"/>
        </w:trPr>
        <w:tc>
          <w:tcPr>
            <w:tcW w:w="1053" w:type="dxa"/>
            <w:tcBorders>
              <w:top w:val="single" w:sz="8" w:space="0" w:color="AEAEAE"/>
              <w:left w:val="nil"/>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14</w:t>
            </w:r>
          </w:p>
        </w:tc>
        <w:tc>
          <w:tcPr>
            <w:tcW w:w="657" w:type="dxa"/>
            <w:tcBorders>
              <w:top w:val="single" w:sz="8" w:space="0" w:color="AEAEAE"/>
              <w:left w:val="nil"/>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.335</w:t>
            </w:r>
          </w:p>
        </w:tc>
        <w:tc>
          <w:tcPr>
            <w:tcW w:w="1362" w:type="dxa"/>
            <w:tcBorders>
              <w:top w:val="single" w:sz="8" w:space="0" w:color="AEAEAE"/>
              <w:left w:val="single" w:sz="8" w:space="0" w:color="E0E0E0"/>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1.674</w:t>
            </w:r>
          </w:p>
        </w:tc>
        <w:tc>
          <w:tcPr>
            <w:tcW w:w="1158" w:type="dxa"/>
            <w:tcBorders>
              <w:top w:val="single" w:sz="8" w:space="0" w:color="AEAEAE"/>
              <w:left w:val="single" w:sz="8" w:space="0" w:color="E0E0E0"/>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96.442</w:t>
            </w:r>
          </w:p>
        </w:tc>
        <w:tc>
          <w:tcPr>
            <w:tcW w:w="720" w:type="dxa"/>
            <w:tcBorders>
              <w:top w:val="single" w:sz="8" w:space="0" w:color="AEAEAE"/>
              <w:left w:val="single" w:sz="8" w:space="0" w:color="E0E0E0"/>
              <w:bottom w:val="single" w:sz="8" w:space="0" w:color="AEAEAE"/>
              <w:right w:val="single" w:sz="8" w:space="0" w:color="E0E0E0"/>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1080" w:type="dxa"/>
            <w:tcBorders>
              <w:top w:val="single" w:sz="8" w:space="0" w:color="AEAEAE"/>
              <w:left w:val="single" w:sz="8" w:space="0" w:color="E0E0E0"/>
              <w:bottom w:val="single" w:sz="8" w:space="0" w:color="AEAEAE"/>
              <w:right w:val="single" w:sz="8" w:space="0" w:color="E0E0E0"/>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810" w:type="dxa"/>
            <w:tcBorders>
              <w:top w:val="single" w:sz="8" w:space="0" w:color="AEAEAE"/>
              <w:left w:val="single" w:sz="8" w:space="0" w:color="E0E0E0"/>
              <w:bottom w:val="single" w:sz="8" w:space="0" w:color="AEAEAE"/>
              <w:right w:val="nil"/>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1350" w:type="dxa"/>
            <w:tcBorders>
              <w:top w:val="single" w:sz="8" w:space="0" w:color="AEAEAE"/>
              <w:left w:val="single" w:sz="8" w:space="0" w:color="E0E0E0"/>
              <w:bottom w:val="single" w:sz="8" w:space="0" w:color="AEAEAE"/>
              <w:right w:val="nil"/>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r>
      <w:tr w:rsidR="00BD1B84" w:rsidRPr="00A07AA7" w:rsidTr="003A25AE">
        <w:trPr>
          <w:cantSplit/>
          <w:trHeight w:val="259"/>
        </w:trPr>
        <w:tc>
          <w:tcPr>
            <w:tcW w:w="1053" w:type="dxa"/>
            <w:tcBorders>
              <w:top w:val="single" w:sz="8" w:space="0" w:color="AEAEAE"/>
              <w:left w:val="nil"/>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15</w:t>
            </w:r>
          </w:p>
        </w:tc>
        <w:tc>
          <w:tcPr>
            <w:tcW w:w="657" w:type="dxa"/>
            <w:tcBorders>
              <w:top w:val="single" w:sz="8" w:space="0" w:color="AEAEAE"/>
              <w:left w:val="nil"/>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.299</w:t>
            </w:r>
          </w:p>
        </w:tc>
        <w:tc>
          <w:tcPr>
            <w:tcW w:w="1362" w:type="dxa"/>
            <w:tcBorders>
              <w:top w:val="single" w:sz="8" w:space="0" w:color="AEAEAE"/>
              <w:left w:val="single" w:sz="8" w:space="0" w:color="E0E0E0"/>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1.493</w:t>
            </w:r>
          </w:p>
        </w:tc>
        <w:tc>
          <w:tcPr>
            <w:tcW w:w="1158" w:type="dxa"/>
            <w:tcBorders>
              <w:top w:val="single" w:sz="8" w:space="0" w:color="AEAEAE"/>
              <w:left w:val="single" w:sz="8" w:space="0" w:color="E0E0E0"/>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97.935</w:t>
            </w:r>
          </w:p>
        </w:tc>
        <w:tc>
          <w:tcPr>
            <w:tcW w:w="720" w:type="dxa"/>
            <w:tcBorders>
              <w:top w:val="single" w:sz="8" w:space="0" w:color="AEAEAE"/>
              <w:left w:val="single" w:sz="8" w:space="0" w:color="E0E0E0"/>
              <w:bottom w:val="single" w:sz="8" w:space="0" w:color="AEAEAE"/>
              <w:right w:val="single" w:sz="8" w:space="0" w:color="E0E0E0"/>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1080" w:type="dxa"/>
            <w:tcBorders>
              <w:top w:val="single" w:sz="8" w:space="0" w:color="AEAEAE"/>
              <w:left w:val="single" w:sz="8" w:space="0" w:color="E0E0E0"/>
              <w:bottom w:val="single" w:sz="8" w:space="0" w:color="AEAEAE"/>
              <w:right w:val="single" w:sz="8" w:space="0" w:color="E0E0E0"/>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810" w:type="dxa"/>
            <w:tcBorders>
              <w:top w:val="single" w:sz="8" w:space="0" w:color="AEAEAE"/>
              <w:left w:val="single" w:sz="8" w:space="0" w:color="E0E0E0"/>
              <w:bottom w:val="single" w:sz="8" w:space="0" w:color="AEAEAE"/>
              <w:right w:val="nil"/>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1350" w:type="dxa"/>
            <w:tcBorders>
              <w:top w:val="single" w:sz="8" w:space="0" w:color="AEAEAE"/>
              <w:left w:val="single" w:sz="8" w:space="0" w:color="E0E0E0"/>
              <w:bottom w:val="single" w:sz="8" w:space="0" w:color="AEAEAE"/>
              <w:right w:val="nil"/>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r>
      <w:tr w:rsidR="00BD1B84" w:rsidRPr="00A07AA7" w:rsidTr="003A25AE">
        <w:trPr>
          <w:cantSplit/>
          <w:trHeight w:val="259"/>
        </w:trPr>
        <w:tc>
          <w:tcPr>
            <w:tcW w:w="1053" w:type="dxa"/>
            <w:tcBorders>
              <w:top w:val="single" w:sz="8" w:space="0" w:color="AEAEAE"/>
              <w:left w:val="nil"/>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16</w:t>
            </w:r>
          </w:p>
        </w:tc>
        <w:tc>
          <w:tcPr>
            <w:tcW w:w="657" w:type="dxa"/>
            <w:tcBorders>
              <w:top w:val="single" w:sz="8" w:space="0" w:color="AEAEAE"/>
              <w:left w:val="nil"/>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.175</w:t>
            </w:r>
          </w:p>
        </w:tc>
        <w:tc>
          <w:tcPr>
            <w:tcW w:w="1362" w:type="dxa"/>
            <w:tcBorders>
              <w:top w:val="single" w:sz="8" w:space="0" w:color="AEAEAE"/>
              <w:left w:val="single" w:sz="8" w:space="0" w:color="E0E0E0"/>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.877</w:t>
            </w:r>
          </w:p>
        </w:tc>
        <w:tc>
          <w:tcPr>
            <w:tcW w:w="1158" w:type="dxa"/>
            <w:tcBorders>
              <w:top w:val="single" w:sz="8" w:space="0" w:color="AEAEAE"/>
              <w:left w:val="single" w:sz="8" w:space="0" w:color="E0E0E0"/>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98.812</w:t>
            </w:r>
          </w:p>
        </w:tc>
        <w:tc>
          <w:tcPr>
            <w:tcW w:w="720" w:type="dxa"/>
            <w:tcBorders>
              <w:top w:val="single" w:sz="8" w:space="0" w:color="AEAEAE"/>
              <w:left w:val="single" w:sz="8" w:space="0" w:color="E0E0E0"/>
              <w:bottom w:val="single" w:sz="8" w:space="0" w:color="AEAEAE"/>
              <w:right w:val="single" w:sz="8" w:space="0" w:color="E0E0E0"/>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1080" w:type="dxa"/>
            <w:tcBorders>
              <w:top w:val="single" w:sz="8" w:space="0" w:color="AEAEAE"/>
              <w:left w:val="single" w:sz="8" w:space="0" w:color="E0E0E0"/>
              <w:bottom w:val="single" w:sz="8" w:space="0" w:color="AEAEAE"/>
              <w:right w:val="single" w:sz="8" w:space="0" w:color="E0E0E0"/>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810" w:type="dxa"/>
            <w:tcBorders>
              <w:top w:val="single" w:sz="8" w:space="0" w:color="AEAEAE"/>
              <w:left w:val="single" w:sz="8" w:space="0" w:color="E0E0E0"/>
              <w:bottom w:val="single" w:sz="8" w:space="0" w:color="AEAEAE"/>
              <w:right w:val="nil"/>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1350" w:type="dxa"/>
            <w:tcBorders>
              <w:top w:val="single" w:sz="8" w:space="0" w:color="AEAEAE"/>
              <w:left w:val="single" w:sz="8" w:space="0" w:color="E0E0E0"/>
              <w:bottom w:val="single" w:sz="8" w:space="0" w:color="AEAEAE"/>
              <w:right w:val="nil"/>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r>
      <w:tr w:rsidR="00BD1B84" w:rsidRPr="00A07AA7" w:rsidTr="003A25AE">
        <w:trPr>
          <w:cantSplit/>
          <w:trHeight w:val="248"/>
        </w:trPr>
        <w:tc>
          <w:tcPr>
            <w:tcW w:w="1053" w:type="dxa"/>
            <w:tcBorders>
              <w:top w:val="single" w:sz="8" w:space="0" w:color="AEAEAE"/>
              <w:left w:val="nil"/>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17</w:t>
            </w:r>
          </w:p>
        </w:tc>
        <w:tc>
          <w:tcPr>
            <w:tcW w:w="657" w:type="dxa"/>
            <w:tcBorders>
              <w:top w:val="single" w:sz="8" w:space="0" w:color="AEAEAE"/>
              <w:left w:val="nil"/>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.148</w:t>
            </w:r>
          </w:p>
        </w:tc>
        <w:tc>
          <w:tcPr>
            <w:tcW w:w="1362" w:type="dxa"/>
            <w:tcBorders>
              <w:top w:val="single" w:sz="8" w:space="0" w:color="AEAEAE"/>
              <w:left w:val="single" w:sz="8" w:space="0" w:color="E0E0E0"/>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.739</w:t>
            </w:r>
          </w:p>
        </w:tc>
        <w:tc>
          <w:tcPr>
            <w:tcW w:w="1158" w:type="dxa"/>
            <w:tcBorders>
              <w:top w:val="single" w:sz="8" w:space="0" w:color="AEAEAE"/>
              <w:left w:val="single" w:sz="8" w:space="0" w:color="E0E0E0"/>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99.551</w:t>
            </w:r>
          </w:p>
        </w:tc>
        <w:tc>
          <w:tcPr>
            <w:tcW w:w="720" w:type="dxa"/>
            <w:tcBorders>
              <w:top w:val="single" w:sz="8" w:space="0" w:color="AEAEAE"/>
              <w:left w:val="single" w:sz="8" w:space="0" w:color="E0E0E0"/>
              <w:bottom w:val="single" w:sz="8" w:space="0" w:color="AEAEAE"/>
              <w:right w:val="single" w:sz="8" w:space="0" w:color="E0E0E0"/>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1080" w:type="dxa"/>
            <w:tcBorders>
              <w:top w:val="single" w:sz="8" w:space="0" w:color="AEAEAE"/>
              <w:left w:val="single" w:sz="8" w:space="0" w:color="E0E0E0"/>
              <w:bottom w:val="single" w:sz="8" w:space="0" w:color="AEAEAE"/>
              <w:right w:val="single" w:sz="8" w:space="0" w:color="E0E0E0"/>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810" w:type="dxa"/>
            <w:tcBorders>
              <w:top w:val="single" w:sz="8" w:space="0" w:color="AEAEAE"/>
              <w:left w:val="single" w:sz="8" w:space="0" w:color="E0E0E0"/>
              <w:bottom w:val="single" w:sz="8" w:space="0" w:color="AEAEAE"/>
              <w:right w:val="nil"/>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1350" w:type="dxa"/>
            <w:tcBorders>
              <w:top w:val="single" w:sz="8" w:space="0" w:color="AEAEAE"/>
              <w:left w:val="single" w:sz="8" w:space="0" w:color="E0E0E0"/>
              <w:bottom w:val="single" w:sz="8" w:space="0" w:color="AEAEAE"/>
              <w:right w:val="nil"/>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r>
      <w:tr w:rsidR="00BD1B84" w:rsidRPr="00A07AA7" w:rsidTr="003A25AE">
        <w:trPr>
          <w:cantSplit/>
          <w:trHeight w:val="259"/>
        </w:trPr>
        <w:tc>
          <w:tcPr>
            <w:tcW w:w="1053" w:type="dxa"/>
            <w:tcBorders>
              <w:top w:val="single" w:sz="8" w:space="0" w:color="AEAEAE"/>
              <w:left w:val="nil"/>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18</w:t>
            </w:r>
          </w:p>
        </w:tc>
        <w:tc>
          <w:tcPr>
            <w:tcW w:w="657" w:type="dxa"/>
            <w:tcBorders>
              <w:top w:val="single" w:sz="8" w:space="0" w:color="AEAEAE"/>
              <w:left w:val="nil"/>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.083</w:t>
            </w:r>
          </w:p>
        </w:tc>
        <w:tc>
          <w:tcPr>
            <w:tcW w:w="1362" w:type="dxa"/>
            <w:tcBorders>
              <w:top w:val="single" w:sz="8" w:space="0" w:color="AEAEAE"/>
              <w:left w:val="single" w:sz="8" w:space="0" w:color="E0E0E0"/>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.414</w:t>
            </w:r>
          </w:p>
        </w:tc>
        <w:tc>
          <w:tcPr>
            <w:tcW w:w="1158" w:type="dxa"/>
            <w:tcBorders>
              <w:top w:val="single" w:sz="8" w:space="0" w:color="AEAEAE"/>
              <w:left w:val="single" w:sz="8" w:space="0" w:color="E0E0E0"/>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99.966</w:t>
            </w:r>
          </w:p>
        </w:tc>
        <w:tc>
          <w:tcPr>
            <w:tcW w:w="720" w:type="dxa"/>
            <w:tcBorders>
              <w:top w:val="single" w:sz="8" w:space="0" w:color="AEAEAE"/>
              <w:left w:val="single" w:sz="8" w:space="0" w:color="E0E0E0"/>
              <w:bottom w:val="single" w:sz="8" w:space="0" w:color="AEAEAE"/>
              <w:right w:val="single" w:sz="8" w:space="0" w:color="E0E0E0"/>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1080" w:type="dxa"/>
            <w:tcBorders>
              <w:top w:val="single" w:sz="8" w:space="0" w:color="AEAEAE"/>
              <w:left w:val="single" w:sz="8" w:space="0" w:color="E0E0E0"/>
              <w:bottom w:val="single" w:sz="8" w:space="0" w:color="AEAEAE"/>
              <w:right w:val="single" w:sz="8" w:space="0" w:color="E0E0E0"/>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810" w:type="dxa"/>
            <w:tcBorders>
              <w:top w:val="single" w:sz="8" w:space="0" w:color="AEAEAE"/>
              <w:left w:val="single" w:sz="8" w:space="0" w:color="E0E0E0"/>
              <w:bottom w:val="single" w:sz="8" w:space="0" w:color="AEAEAE"/>
              <w:right w:val="nil"/>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1350" w:type="dxa"/>
            <w:tcBorders>
              <w:top w:val="single" w:sz="8" w:space="0" w:color="AEAEAE"/>
              <w:left w:val="single" w:sz="8" w:space="0" w:color="E0E0E0"/>
              <w:bottom w:val="single" w:sz="8" w:space="0" w:color="AEAEAE"/>
              <w:right w:val="nil"/>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r>
      <w:tr w:rsidR="00BD1B84" w:rsidRPr="00A07AA7" w:rsidTr="003A25AE">
        <w:trPr>
          <w:cantSplit/>
          <w:trHeight w:val="259"/>
        </w:trPr>
        <w:tc>
          <w:tcPr>
            <w:tcW w:w="1053" w:type="dxa"/>
            <w:tcBorders>
              <w:top w:val="single" w:sz="8" w:space="0" w:color="AEAEAE"/>
              <w:left w:val="nil"/>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19</w:t>
            </w:r>
          </w:p>
        </w:tc>
        <w:tc>
          <w:tcPr>
            <w:tcW w:w="657" w:type="dxa"/>
            <w:tcBorders>
              <w:top w:val="single" w:sz="8" w:space="0" w:color="AEAEAE"/>
              <w:left w:val="nil"/>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.007</w:t>
            </w:r>
          </w:p>
        </w:tc>
        <w:tc>
          <w:tcPr>
            <w:tcW w:w="1362" w:type="dxa"/>
            <w:tcBorders>
              <w:top w:val="single" w:sz="8" w:space="0" w:color="AEAEAE"/>
              <w:left w:val="single" w:sz="8" w:space="0" w:color="E0E0E0"/>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.033</w:t>
            </w:r>
          </w:p>
        </w:tc>
        <w:tc>
          <w:tcPr>
            <w:tcW w:w="1158" w:type="dxa"/>
            <w:tcBorders>
              <w:top w:val="single" w:sz="8" w:space="0" w:color="AEAEAE"/>
              <w:left w:val="single" w:sz="8" w:space="0" w:color="E0E0E0"/>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99.999</w:t>
            </w:r>
          </w:p>
        </w:tc>
        <w:tc>
          <w:tcPr>
            <w:tcW w:w="720" w:type="dxa"/>
            <w:tcBorders>
              <w:top w:val="single" w:sz="8" w:space="0" w:color="AEAEAE"/>
              <w:left w:val="single" w:sz="8" w:space="0" w:color="E0E0E0"/>
              <w:bottom w:val="single" w:sz="8" w:space="0" w:color="AEAEAE"/>
              <w:right w:val="single" w:sz="8" w:space="0" w:color="E0E0E0"/>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1080" w:type="dxa"/>
            <w:tcBorders>
              <w:top w:val="single" w:sz="8" w:space="0" w:color="AEAEAE"/>
              <w:left w:val="single" w:sz="8" w:space="0" w:color="E0E0E0"/>
              <w:bottom w:val="single" w:sz="8" w:space="0" w:color="AEAEAE"/>
              <w:right w:val="single" w:sz="8" w:space="0" w:color="E0E0E0"/>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810" w:type="dxa"/>
            <w:tcBorders>
              <w:top w:val="single" w:sz="8" w:space="0" w:color="AEAEAE"/>
              <w:left w:val="single" w:sz="8" w:space="0" w:color="E0E0E0"/>
              <w:bottom w:val="single" w:sz="8" w:space="0" w:color="AEAEAE"/>
              <w:right w:val="nil"/>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1350" w:type="dxa"/>
            <w:tcBorders>
              <w:top w:val="single" w:sz="8" w:space="0" w:color="AEAEAE"/>
              <w:left w:val="single" w:sz="8" w:space="0" w:color="E0E0E0"/>
              <w:bottom w:val="single" w:sz="8" w:space="0" w:color="AEAEAE"/>
              <w:right w:val="nil"/>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r>
      <w:tr w:rsidR="00BD1B84" w:rsidRPr="00A07AA7" w:rsidTr="003A25AE">
        <w:trPr>
          <w:cantSplit/>
          <w:trHeight w:val="248"/>
        </w:trPr>
        <w:tc>
          <w:tcPr>
            <w:tcW w:w="1053" w:type="dxa"/>
            <w:tcBorders>
              <w:top w:val="single" w:sz="8" w:space="0" w:color="AEAEAE"/>
              <w:left w:val="nil"/>
              <w:bottom w:val="single" w:sz="8" w:space="0" w:color="152935"/>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20</w:t>
            </w:r>
          </w:p>
        </w:tc>
        <w:tc>
          <w:tcPr>
            <w:tcW w:w="657" w:type="dxa"/>
            <w:tcBorders>
              <w:top w:val="single" w:sz="8" w:space="0" w:color="AEAEAE"/>
              <w:left w:val="nil"/>
              <w:bottom w:val="single" w:sz="8" w:space="0" w:color="152935"/>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.000</w:t>
            </w:r>
          </w:p>
        </w:tc>
        <w:tc>
          <w:tcPr>
            <w:tcW w:w="1362" w:type="dxa"/>
            <w:tcBorders>
              <w:top w:val="single" w:sz="8" w:space="0" w:color="AEAEAE"/>
              <w:left w:val="single" w:sz="8" w:space="0" w:color="E0E0E0"/>
              <w:bottom w:val="single" w:sz="8" w:space="0" w:color="152935"/>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.001</w:t>
            </w:r>
          </w:p>
        </w:tc>
        <w:tc>
          <w:tcPr>
            <w:tcW w:w="1158" w:type="dxa"/>
            <w:tcBorders>
              <w:top w:val="single" w:sz="8" w:space="0" w:color="AEAEAE"/>
              <w:left w:val="single" w:sz="8" w:space="0" w:color="E0E0E0"/>
              <w:bottom w:val="single" w:sz="8" w:space="0" w:color="152935"/>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100.000</w:t>
            </w:r>
          </w:p>
        </w:tc>
        <w:tc>
          <w:tcPr>
            <w:tcW w:w="720" w:type="dxa"/>
            <w:tcBorders>
              <w:top w:val="single" w:sz="8" w:space="0" w:color="AEAEAE"/>
              <w:left w:val="single" w:sz="8" w:space="0" w:color="E0E0E0"/>
              <w:bottom w:val="single" w:sz="8" w:space="0" w:color="152935"/>
              <w:right w:val="single" w:sz="8" w:space="0" w:color="E0E0E0"/>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1080" w:type="dxa"/>
            <w:tcBorders>
              <w:top w:val="single" w:sz="8" w:space="0" w:color="AEAEAE"/>
              <w:left w:val="single" w:sz="8" w:space="0" w:color="E0E0E0"/>
              <w:bottom w:val="single" w:sz="8" w:space="0" w:color="152935"/>
              <w:right w:val="single" w:sz="8" w:space="0" w:color="E0E0E0"/>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810" w:type="dxa"/>
            <w:tcBorders>
              <w:top w:val="single" w:sz="8" w:space="0" w:color="AEAEAE"/>
              <w:left w:val="single" w:sz="8" w:space="0" w:color="E0E0E0"/>
              <w:bottom w:val="single" w:sz="8" w:space="0" w:color="152935"/>
              <w:right w:val="nil"/>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1350" w:type="dxa"/>
            <w:tcBorders>
              <w:top w:val="single" w:sz="8" w:space="0" w:color="AEAEAE"/>
              <w:left w:val="single" w:sz="8" w:space="0" w:color="E0E0E0"/>
              <w:bottom w:val="single" w:sz="8" w:space="0" w:color="152935"/>
              <w:right w:val="nil"/>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r>
      <w:tr w:rsidR="00BD1B84" w:rsidRPr="00FE30B9" w:rsidTr="003A25AE">
        <w:trPr>
          <w:cantSplit/>
          <w:trHeight w:val="259"/>
        </w:trPr>
        <w:tc>
          <w:tcPr>
            <w:tcW w:w="8190" w:type="dxa"/>
            <w:gridSpan w:val="8"/>
            <w:tcBorders>
              <w:top w:val="nil"/>
              <w:left w:val="nil"/>
              <w:bottom w:val="nil"/>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Extraction Method: Principal Component Analysis.</w:t>
            </w:r>
          </w:p>
        </w:tc>
      </w:tr>
      <w:tr w:rsidR="00BD1B84" w:rsidRPr="00FE30B9" w:rsidTr="003A25AE">
        <w:trPr>
          <w:cantSplit/>
          <w:trHeight w:val="648"/>
        </w:trPr>
        <w:tc>
          <w:tcPr>
            <w:tcW w:w="8190" w:type="dxa"/>
            <w:gridSpan w:val="8"/>
            <w:tcBorders>
              <w:top w:val="nil"/>
              <w:left w:val="nil"/>
              <w:bottom w:val="nil"/>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a. When components are correlated, sums of squared loadings cannot be added to obtain a total variance.</w:t>
            </w:r>
          </w:p>
        </w:tc>
      </w:tr>
    </w:tbl>
    <w:p w:rsidR="007B19D3" w:rsidRDefault="007B19D3" w:rsidP="007B19D3">
      <w:pPr>
        <w:rPr>
          <w:rFonts w:cs="Times New Roman"/>
          <w:bCs/>
          <w:spacing w:val="-5"/>
          <w:szCs w:val="24"/>
          <w:shd w:val="clear" w:color="auto" w:fill="FFFFFF"/>
        </w:rPr>
      </w:pPr>
      <w:r>
        <w:rPr>
          <w:rFonts w:cs="Times New Roman"/>
          <w:szCs w:val="24"/>
        </w:rPr>
        <w:t>In this case, Cloke in his indexing methodology, had used one-factor model (i.e., considered only the first factor) (Beynon et al. 2016; Harrington and O’Donoghue, 1998;</w:t>
      </w:r>
      <w:r w:rsidRPr="00F357C0">
        <w:rPr>
          <w:rFonts w:cs="Times New Roman"/>
          <w:szCs w:val="24"/>
        </w:rPr>
        <w:t xml:space="preserve"> </w:t>
      </w:r>
      <w:r>
        <w:rPr>
          <w:rFonts w:cs="Times New Roman"/>
          <w:szCs w:val="24"/>
        </w:rPr>
        <w:t xml:space="preserve">Cloke and Edwards, 1986; Cloke, 1977). If we would follow the same approach, then the first factor could explain only 29.48% of the total variability (see </w:t>
      </w:r>
      <w:hyperlink w:anchor="_Table_6:_Total" w:history="1">
        <w:r w:rsidR="00D624AB" w:rsidRPr="00D624AB">
          <w:rPr>
            <w:rStyle w:val="Hyperlink"/>
            <w:rFonts w:cs="Times New Roman"/>
            <w:color w:val="auto"/>
            <w:szCs w:val="24"/>
            <w:u w:val="none"/>
          </w:rPr>
          <w:t>Table 6</w:t>
        </w:r>
      </w:hyperlink>
      <w:r>
        <w:rPr>
          <w:rFonts w:cs="Times New Roman"/>
          <w:szCs w:val="24"/>
        </w:rPr>
        <w:t>) of the indicators included in this analysis. Comparison between the two models shows that our six-factor model based rural</w:t>
      </w:r>
      <w:r w:rsidR="00E211B2">
        <w:rPr>
          <w:rFonts w:cs="Times New Roman"/>
          <w:szCs w:val="24"/>
        </w:rPr>
        <w:t xml:space="preserve">ity index can measure rurality </w:t>
      </w:r>
      <w:r>
        <w:rPr>
          <w:rFonts w:cs="Times New Roman"/>
          <w:szCs w:val="24"/>
        </w:rPr>
        <w:t xml:space="preserve">with two times greater accuracy and reliability than that of Clokes’ one-factor model based rurality index. Therefore, we have utilized our six-factor model in the rurality indexing </w:t>
      </w:r>
      <w:r>
        <w:rPr>
          <w:rFonts w:cs="Times New Roman"/>
          <w:szCs w:val="24"/>
        </w:rPr>
        <w:lastRenderedPageBreak/>
        <w:t xml:space="preserve">approach where each variable of the analysis is loaded onto the factor it is most associated with (based on largest loading value). Note that Cloke, in his rurality index methodology had used the loading scores derived from one-factor model of PCA as the weights for the respective indicators that were adopted in his study. He did not normalize the loadings and thus, indicators with negative loadings were corresponded closely with rural characteristics in his research (Harrington and O’Donoghue, 1998; Cloke, 1977). However, in our methodology, we have normalized the derived loadings of the respective variables utilizing a normalization index following the Equation (2) with a view to facilitate the interpretation. This same approach has been reported in some scholarly literature including Beynon et al. (2016); </w:t>
      </w:r>
      <w:r w:rsidRPr="005B05CA">
        <w:rPr>
          <w:rFonts w:cs="Times New Roman"/>
          <w:bCs/>
          <w:spacing w:val="-5"/>
          <w:szCs w:val="24"/>
          <w:shd w:val="clear" w:color="auto" w:fill="FFFFFF"/>
        </w:rPr>
        <w:t>Ocaña-Riola</w:t>
      </w:r>
      <w:r w:rsidRPr="005B05CA">
        <w:rPr>
          <w:rFonts w:cs="Times New Roman"/>
          <w:szCs w:val="24"/>
        </w:rPr>
        <w:t xml:space="preserve"> and </w:t>
      </w:r>
      <w:r w:rsidRPr="005B05CA">
        <w:rPr>
          <w:rFonts w:cs="Times New Roman"/>
          <w:bCs/>
          <w:spacing w:val="-5"/>
          <w:szCs w:val="24"/>
          <w:shd w:val="clear" w:color="auto" w:fill="FFFFFF"/>
        </w:rPr>
        <w:t>Sánchez-Cantalejo</w:t>
      </w:r>
      <w:r>
        <w:rPr>
          <w:rFonts w:cs="Times New Roman"/>
          <w:bCs/>
          <w:spacing w:val="-5"/>
          <w:szCs w:val="24"/>
          <w:shd w:val="clear" w:color="auto" w:fill="FFFFFF"/>
        </w:rPr>
        <w:t xml:space="preserve"> (2005). Once the indicators have been normalized and their corresponding </w:t>
      </w:r>
      <w:r w:rsidR="00E54AF5">
        <w:rPr>
          <w:rFonts w:cs="Times New Roman"/>
          <w:bCs/>
          <w:spacing w:val="-5"/>
          <w:szCs w:val="24"/>
          <w:shd w:val="clear" w:color="auto" w:fill="FFFFFF"/>
        </w:rPr>
        <w:t xml:space="preserve">normalized </w:t>
      </w:r>
      <w:r>
        <w:rPr>
          <w:rFonts w:cs="Times New Roman"/>
          <w:bCs/>
          <w:spacing w:val="-5"/>
          <w:szCs w:val="24"/>
          <w:shd w:val="clear" w:color="auto" w:fill="FFFFFF"/>
        </w:rPr>
        <w:t>loadings have been educed, rurality index for each of the Union</w:t>
      </w:r>
      <w:r w:rsidR="00907BE6">
        <w:rPr>
          <w:rFonts w:cs="Times New Roman"/>
          <w:bCs/>
          <w:spacing w:val="-5"/>
          <w:szCs w:val="24"/>
          <w:shd w:val="clear" w:color="auto" w:fill="FFFFFF"/>
        </w:rPr>
        <w:t>s</w:t>
      </w:r>
      <w:r>
        <w:rPr>
          <w:rFonts w:cs="Times New Roman"/>
          <w:bCs/>
          <w:spacing w:val="-5"/>
          <w:szCs w:val="24"/>
          <w:shd w:val="clear" w:color="auto" w:fill="FFFFFF"/>
        </w:rPr>
        <w:t xml:space="preserve"> under the three case study districts have been generated using the Equation (3).</w:t>
      </w:r>
    </w:p>
    <w:p w:rsidR="007B19D3" w:rsidRPr="003B693A" w:rsidRDefault="008B1EE2" w:rsidP="007B19D3">
      <w:pPr>
        <w:spacing w:line="240" w:lineRule="auto"/>
        <w:jc w:val="center"/>
        <w:rPr>
          <w:rFonts w:cs="Times New Roman"/>
          <w:szCs w:val="24"/>
        </w:rPr>
      </w:pPr>
      <m:oMath>
        <m:sSub>
          <m:sSubPr>
            <m:ctrlPr>
              <w:rPr>
                <w:rFonts w:ascii="Cambria Math" w:hAnsi="Cambria Math" w:cs="Times New Roman"/>
                <w:i/>
                <w:sz w:val="26"/>
                <w:szCs w:val="26"/>
              </w:rPr>
            </m:ctrlPr>
          </m:sSubPr>
          <m:e>
            <m:r>
              <w:rPr>
                <w:rFonts w:ascii="Cambria Math" w:hAnsi="Cambria Math" w:cs="Times New Roman"/>
                <w:sz w:val="26"/>
                <w:szCs w:val="26"/>
              </w:rPr>
              <m:t>I</m:t>
            </m:r>
          </m:e>
          <m:sub>
            <m:r>
              <w:rPr>
                <w:rFonts w:ascii="Cambria Math" w:hAnsi="Cambria Math" w:cs="Times New Roman"/>
                <w:sz w:val="26"/>
                <w:szCs w:val="26"/>
              </w:rPr>
              <m:t>j</m:t>
            </m:r>
          </m:sub>
        </m:sSub>
        <m:r>
          <w:rPr>
            <w:rFonts w:ascii="Cambria Math" w:hAnsi="Cambria Math" w:cs="Times New Roman"/>
            <w:sz w:val="26"/>
            <w:szCs w:val="26"/>
          </w:rPr>
          <m:t>=</m:t>
        </m:r>
        <m:sSub>
          <m:sSubPr>
            <m:ctrlPr>
              <w:rPr>
                <w:rFonts w:ascii="Cambria Math" w:hAnsi="Cambria Math" w:cs="Times New Roman"/>
                <w:i/>
                <w:sz w:val="26"/>
                <w:szCs w:val="26"/>
              </w:rPr>
            </m:ctrlPr>
          </m:sSubPr>
          <m:e>
            <m:r>
              <w:rPr>
                <w:rFonts w:ascii="Cambria Math" w:hAnsi="Cambria Math" w:cs="Times New Roman"/>
                <w:sz w:val="26"/>
                <w:szCs w:val="26"/>
              </w:rPr>
              <m:t>a</m:t>
            </m:r>
          </m:e>
          <m:sub>
            <m:r>
              <w:rPr>
                <w:rFonts w:ascii="Cambria Math" w:hAnsi="Cambria Math" w:cs="Times New Roman"/>
                <w:sz w:val="26"/>
                <w:szCs w:val="26"/>
              </w:rPr>
              <m:t>1</m:t>
            </m:r>
          </m:sub>
        </m:sSub>
        <m:sSub>
          <m:sSubPr>
            <m:ctrlPr>
              <w:rPr>
                <w:rFonts w:ascii="Cambria Math" w:hAnsi="Cambria Math" w:cs="Times New Roman"/>
                <w:i/>
                <w:sz w:val="26"/>
                <w:szCs w:val="26"/>
              </w:rPr>
            </m:ctrlPr>
          </m:sSubPr>
          <m:e>
            <m:r>
              <w:rPr>
                <w:rFonts w:ascii="Cambria Math" w:hAnsi="Cambria Math" w:cs="Times New Roman"/>
                <w:sz w:val="26"/>
                <w:szCs w:val="26"/>
              </w:rPr>
              <m:t>X</m:t>
            </m:r>
          </m:e>
          <m:sub>
            <m:r>
              <w:rPr>
                <w:rFonts w:ascii="Cambria Math" w:hAnsi="Cambria Math" w:cs="Times New Roman"/>
                <w:sz w:val="26"/>
                <w:szCs w:val="26"/>
              </w:rPr>
              <m:t>1</m:t>
            </m:r>
          </m:sub>
        </m:sSub>
        <m:r>
          <w:rPr>
            <w:rFonts w:ascii="Cambria Math" w:hAnsi="Cambria Math" w:cs="Times New Roman"/>
            <w:sz w:val="26"/>
            <w:szCs w:val="26"/>
          </w:rPr>
          <m:t>j+</m:t>
        </m:r>
        <m:sSub>
          <m:sSubPr>
            <m:ctrlPr>
              <w:rPr>
                <w:rFonts w:ascii="Cambria Math" w:hAnsi="Cambria Math" w:cs="Times New Roman"/>
                <w:i/>
                <w:sz w:val="26"/>
                <w:szCs w:val="26"/>
              </w:rPr>
            </m:ctrlPr>
          </m:sSubPr>
          <m:e>
            <m:r>
              <w:rPr>
                <w:rFonts w:ascii="Cambria Math" w:hAnsi="Cambria Math" w:cs="Times New Roman"/>
                <w:sz w:val="26"/>
                <w:szCs w:val="26"/>
              </w:rPr>
              <m:t>a</m:t>
            </m:r>
          </m:e>
          <m:sub>
            <m:r>
              <w:rPr>
                <w:rFonts w:ascii="Cambria Math" w:hAnsi="Cambria Math" w:cs="Times New Roman"/>
                <w:sz w:val="26"/>
                <w:szCs w:val="26"/>
              </w:rPr>
              <m:t>2</m:t>
            </m:r>
          </m:sub>
        </m:sSub>
        <m:sSub>
          <m:sSubPr>
            <m:ctrlPr>
              <w:rPr>
                <w:rFonts w:ascii="Cambria Math" w:hAnsi="Cambria Math" w:cs="Times New Roman"/>
                <w:i/>
                <w:sz w:val="26"/>
                <w:szCs w:val="26"/>
              </w:rPr>
            </m:ctrlPr>
          </m:sSubPr>
          <m:e>
            <m:r>
              <w:rPr>
                <w:rFonts w:ascii="Cambria Math" w:hAnsi="Cambria Math" w:cs="Times New Roman"/>
                <w:sz w:val="26"/>
                <w:szCs w:val="26"/>
              </w:rPr>
              <m:t>X</m:t>
            </m:r>
          </m:e>
          <m:sub>
            <m:r>
              <w:rPr>
                <w:rFonts w:ascii="Cambria Math" w:hAnsi="Cambria Math" w:cs="Times New Roman"/>
                <w:sz w:val="26"/>
                <w:szCs w:val="26"/>
              </w:rPr>
              <m:t>2</m:t>
            </m:r>
          </m:sub>
        </m:sSub>
        <m:r>
          <w:rPr>
            <w:rFonts w:ascii="Cambria Math" w:hAnsi="Cambria Math" w:cs="Times New Roman"/>
            <w:sz w:val="26"/>
            <w:szCs w:val="26"/>
          </w:rPr>
          <m:t>j+⋯+</m:t>
        </m:r>
        <m:sSub>
          <m:sSubPr>
            <m:ctrlPr>
              <w:rPr>
                <w:rFonts w:ascii="Cambria Math" w:hAnsi="Cambria Math" w:cs="Times New Roman"/>
                <w:i/>
                <w:sz w:val="26"/>
                <w:szCs w:val="26"/>
              </w:rPr>
            </m:ctrlPr>
          </m:sSubPr>
          <m:e>
            <m:r>
              <w:rPr>
                <w:rFonts w:ascii="Cambria Math" w:hAnsi="Cambria Math" w:cs="Times New Roman"/>
                <w:sz w:val="26"/>
                <w:szCs w:val="26"/>
              </w:rPr>
              <m:t>a</m:t>
            </m:r>
          </m:e>
          <m:sub>
            <m:r>
              <w:rPr>
                <w:rFonts w:ascii="Cambria Math" w:hAnsi="Cambria Math" w:cs="Times New Roman"/>
                <w:sz w:val="26"/>
                <w:szCs w:val="26"/>
              </w:rPr>
              <m:t>20</m:t>
            </m:r>
          </m:sub>
        </m:sSub>
        <m:sSub>
          <m:sSubPr>
            <m:ctrlPr>
              <w:rPr>
                <w:rFonts w:ascii="Cambria Math" w:hAnsi="Cambria Math" w:cs="Times New Roman"/>
                <w:i/>
                <w:sz w:val="26"/>
                <w:szCs w:val="26"/>
              </w:rPr>
            </m:ctrlPr>
          </m:sSubPr>
          <m:e>
            <m:r>
              <w:rPr>
                <w:rFonts w:ascii="Cambria Math" w:hAnsi="Cambria Math" w:cs="Times New Roman"/>
                <w:sz w:val="26"/>
                <w:szCs w:val="26"/>
              </w:rPr>
              <m:t>X</m:t>
            </m:r>
          </m:e>
          <m:sub>
            <m:r>
              <w:rPr>
                <w:rFonts w:ascii="Cambria Math" w:hAnsi="Cambria Math" w:cs="Times New Roman"/>
                <w:sz w:val="26"/>
                <w:szCs w:val="26"/>
              </w:rPr>
              <m:t>20</m:t>
            </m:r>
          </m:sub>
        </m:sSub>
        <m:r>
          <w:rPr>
            <w:rFonts w:ascii="Cambria Math" w:hAnsi="Cambria Math" w:cs="Times New Roman"/>
            <w:sz w:val="26"/>
            <w:szCs w:val="26"/>
          </w:rPr>
          <m:t>j</m:t>
        </m:r>
      </m:oMath>
      <w:r w:rsidR="007B19D3" w:rsidRPr="003B693A">
        <w:rPr>
          <w:rFonts w:cs="Times New Roman"/>
          <w:szCs w:val="24"/>
        </w:rPr>
        <w:t xml:space="preserve"> </w:t>
      </w:r>
      <w:r w:rsidR="007B19D3">
        <w:rPr>
          <w:rFonts w:cs="Times New Roman"/>
          <w:szCs w:val="24"/>
        </w:rPr>
        <w:t xml:space="preserve">…………………… </w:t>
      </w:r>
      <w:r w:rsidR="007B19D3" w:rsidRPr="003B693A">
        <w:rPr>
          <w:rFonts w:cs="Times New Roman"/>
          <w:szCs w:val="24"/>
        </w:rPr>
        <w:t>(</w:t>
      </w:r>
      <w:r w:rsidR="007B19D3" w:rsidRPr="00EF6691">
        <w:rPr>
          <w:rFonts w:cs="Times New Roman"/>
          <w:szCs w:val="24"/>
        </w:rPr>
        <w:t>3</w:t>
      </w:r>
      <w:r w:rsidR="007B19D3" w:rsidRPr="003B693A">
        <w:rPr>
          <w:rFonts w:cs="Times New Roman"/>
          <w:szCs w:val="24"/>
        </w:rPr>
        <w:t>)</w:t>
      </w:r>
    </w:p>
    <w:p w:rsidR="007B19D3" w:rsidRPr="003B693A" w:rsidRDefault="007B19D3" w:rsidP="007B19D3">
      <w:pPr>
        <w:spacing w:line="240" w:lineRule="auto"/>
        <w:jc w:val="center"/>
        <w:rPr>
          <w:rFonts w:cs="Times New Roman"/>
          <w:szCs w:val="24"/>
        </w:rPr>
      </w:pPr>
      <w:r w:rsidRPr="003B693A">
        <w:rPr>
          <w:rFonts w:cs="Times New Roman"/>
          <w:szCs w:val="24"/>
        </w:rPr>
        <w:t xml:space="preserve">where, </w:t>
      </w:r>
      <m:oMath>
        <m:sSub>
          <m:sSubPr>
            <m:ctrlPr>
              <w:rPr>
                <w:rFonts w:ascii="Cambria Math" w:hAnsi="Cambria Math" w:cs="Times New Roman"/>
                <w:i/>
                <w:szCs w:val="24"/>
              </w:rPr>
            </m:ctrlPr>
          </m:sSubPr>
          <m:e>
            <m:r>
              <w:rPr>
                <w:rFonts w:ascii="Cambria Math" w:hAnsi="Cambria Math" w:cs="Times New Roman"/>
                <w:szCs w:val="24"/>
              </w:rPr>
              <m:t>I</m:t>
            </m:r>
          </m:e>
          <m:sub>
            <m:r>
              <w:rPr>
                <w:rFonts w:ascii="Cambria Math" w:hAnsi="Cambria Math" w:cs="Times New Roman"/>
                <w:szCs w:val="24"/>
              </w:rPr>
              <m:t>j</m:t>
            </m:r>
          </m:sub>
        </m:sSub>
      </m:oMath>
      <w:r w:rsidRPr="003B693A">
        <w:rPr>
          <w:rFonts w:cs="Times New Roman"/>
          <w:szCs w:val="24"/>
        </w:rPr>
        <w:t xml:space="preserve"> = rurality index for union j</w:t>
      </w:r>
    </w:p>
    <w:p w:rsidR="007B19D3" w:rsidRPr="003B693A" w:rsidRDefault="008B1EE2" w:rsidP="007B19D3">
      <w:pPr>
        <w:spacing w:line="240" w:lineRule="auto"/>
        <w:jc w:val="center"/>
        <w:rPr>
          <w:rFonts w:eastAsiaTheme="minorEastAsia" w:cs="Times New Roman"/>
          <w:szCs w:val="24"/>
        </w:rPr>
      </w:pPr>
      <m:oMath>
        <m:sSub>
          <m:sSubPr>
            <m:ctrlPr>
              <w:rPr>
                <w:rFonts w:ascii="Cambria Math" w:hAnsi="Cambria Math" w:cs="Times New Roman"/>
                <w:i/>
                <w:szCs w:val="24"/>
              </w:rPr>
            </m:ctrlPr>
          </m:sSubPr>
          <m:e>
            <m:r>
              <w:rPr>
                <w:rFonts w:ascii="Cambria Math" w:hAnsi="Cambria Math" w:cs="Times New Roman"/>
                <w:szCs w:val="24"/>
              </w:rPr>
              <m:t>a</m:t>
            </m:r>
          </m:e>
          <m:sub>
            <m:r>
              <w:rPr>
                <w:rFonts w:ascii="Cambria Math" w:hAnsi="Cambria Math" w:cs="Times New Roman"/>
                <w:szCs w:val="24"/>
              </w:rPr>
              <m:t>n</m:t>
            </m:r>
          </m:sub>
        </m:sSub>
      </m:oMath>
      <w:r w:rsidR="007B19D3" w:rsidRPr="003B693A">
        <w:rPr>
          <w:rFonts w:eastAsiaTheme="minorEastAsia" w:cs="Times New Roman"/>
          <w:szCs w:val="24"/>
        </w:rPr>
        <w:t xml:space="preserve"> = </w:t>
      </w:r>
      <w:r w:rsidR="007B19D3">
        <w:rPr>
          <w:rFonts w:eastAsiaTheme="minorEastAsia" w:cs="Times New Roman"/>
          <w:szCs w:val="24"/>
        </w:rPr>
        <w:t xml:space="preserve">normalized </w:t>
      </w:r>
      <w:r w:rsidR="007B19D3" w:rsidRPr="003B693A">
        <w:rPr>
          <w:rFonts w:eastAsiaTheme="minorEastAsia" w:cs="Times New Roman"/>
          <w:szCs w:val="24"/>
        </w:rPr>
        <w:t xml:space="preserve">loading score corresponding to variable </w:t>
      </w:r>
      <m:oMath>
        <m:sSub>
          <m:sSubPr>
            <m:ctrlPr>
              <w:rPr>
                <w:rFonts w:ascii="Cambria Math" w:hAnsi="Cambria Math" w:cs="Times New Roman"/>
                <w:i/>
                <w:szCs w:val="24"/>
              </w:rPr>
            </m:ctrlPr>
          </m:sSubPr>
          <m:e>
            <m:r>
              <w:rPr>
                <w:rFonts w:ascii="Cambria Math" w:hAnsi="Cambria Math" w:cs="Times New Roman"/>
                <w:szCs w:val="24"/>
              </w:rPr>
              <m:t>X</m:t>
            </m:r>
          </m:e>
          <m:sub>
            <m:r>
              <w:rPr>
                <w:rFonts w:ascii="Cambria Math" w:hAnsi="Cambria Math" w:cs="Times New Roman"/>
                <w:szCs w:val="24"/>
              </w:rPr>
              <m:t>n</m:t>
            </m:r>
          </m:sub>
        </m:sSub>
      </m:oMath>
    </w:p>
    <w:p w:rsidR="007B19D3" w:rsidRDefault="008B1EE2" w:rsidP="007B19D3">
      <w:pPr>
        <w:jc w:val="center"/>
        <w:rPr>
          <w:rFonts w:cs="Times New Roman"/>
          <w:i/>
          <w:szCs w:val="24"/>
        </w:rPr>
      </w:pPr>
      <m:oMath>
        <m:sSub>
          <m:sSubPr>
            <m:ctrlPr>
              <w:rPr>
                <w:rFonts w:ascii="Cambria Math" w:hAnsi="Cambria Math" w:cs="Times New Roman"/>
                <w:i/>
                <w:szCs w:val="24"/>
              </w:rPr>
            </m:ctrlPr>
          </m:sSubPr>
          <m:e>
            <m:r>
              <w:rPr>
                <w:rFonts w:ascii="Cambria Math" w:hAnsi="Cambria Math" w:cs="Times New Roman"/>
                <w:szCs w:val="24"/>
              </w:rPr>
              <m:t>X</m:t>
            </m:r>
          </m:e>
          <m:sub>
            <m:r>
              <w:rPr>
                <w:rFonts w:ascii="Cambria Math" w:hAnsi="Cambria Math" w:cs="Times New Roman"/>
                <w:szCs w:val="24"/>
              </w:rPr>
              <m:t>n</m:t>
            </m:r>
          </m:sub>
        </m:sSub>
      </m:oMath>
      <w:r w:rsidR="007B19D3" w:rsidRPr="003B693A">
        <w:rPr>
          <w:rFonts w:cs="Times New Roman"/>
          <w:i/>
          <w:szCs w:val="24"/>
        </w:rPr>
        <w:t xml:space="preserve">j </w:t>
      </w:r>
      <w:r w:rsidR="007B19D3" w:rsidRPr="003B693A">
        <w:rPr>
          <w:rFonts w:cs="Times New Roman"/>
          <w:szCs w:val="24"/>
        </w:rPr>
        <w:t xml:space="preserve">= </w:t>
      </w:r>
      <w:r w:rsidR="007B19D3">
        <w:rPr>
          <w:rFonts w:cs="Times New Roman"/>
          <w:szCs w:val="24"/>
        </w:rPr>
        <w:t xml:space="preserve">normalized </w:t>
      </w:r>
      <w:r w:rsidR="007B19D3" w:rsidRPr="003B693A">
        <w:rPr>
          <w:rFonts w:cs="Times New Roman"/>
          <w:szCs w:val="24"/>
        </w:rPr>
        <w:t xml:space="preserve">value of variable </w:t>
      </w:r>
      <w:r w:rsidR="007B19D3" w:rsidRPr="003B693A">
        <w:rPr>
          <w:rFonts w:cs="Times New Roman"/>
          <w:i/>
          <w:szCs w:val="24"/>
        </w:rPr>
        <w:t>X</w:t>
      </w:r>
      <w:r w:rsidR="007B19D3" w:rsidRPr="00FE2A54">
        <w:rPr>
          <w:rFonts w:cs="Times New Roman"/>
          <w:i/>
          <w:szCs w:val="24"/>
          <w:vertAlign w:val="subscript"/>
        </w:rPr>
        <w:t>n</w:t>
      </w:r>
      <w:r w:rsidR="007B19D3" w:rsidRPr="003B693A">
        <w:rPr>
          <w:rFonts w:cs="Times New Roman"/>
          <w:i/>
          <w:szCs w:val="24"/>
        </w:rPr>
        <w:t xml:space="preserve"> </w:t>
      </w:r>
      <w:r w:rsidR="007B19D3" w:rsidRPr="003B693A">
        <w:rPr>
          <w:rFonts w:cs="Times New Roman"/>
          <w:szCs w:val="24"/>
        </w:rPr>
        <w:t xml:space="preserve">for union </w:t>
      </w:r>
      <w:r w:rsidR="007B19D3" w:rsidRPr="003B693A">
        <w:rPr>
          <w:rFonts w:cs="Times New Roman"/>
          <w:i/>
          <w:szCs w:val="24"/>
        </w:rPr>
        <w:t>j</w:t>
      </w:r>
    </w:p>
    <w:p w:rsidR="00B70B64" w:rsidRDefault="007B19D3" w:rsidP="00B70B64">
      <w:pPr>
        <w:rPr>
          <w:rFonts w:cs="Times New Roman"/>
          <w:szCs w:val="24"/>
        </w:rPr>
      </w:pPr>
      <w:r>
        <w:rPr>
          <w:rFonts w:cs="Times New Roman"/>
          <w:szCs w:val="24"/>
        </w:rPr>
        <w:t xml:space="preserve">Thus, the normalized value of each indicator at each Union is multiplied by their corresponding normalized loadings and then, these values are summed up to educe rurality score for each Union under the case study areas: Khulna, Satkhira and Bagerhat districts. The Unions of the individual districts are then categorized into four classes such as Extremely Rural, Intermediate Rural, Intermediate Non-Rural and Extremely Non-Rural, following an equal interval or quartile classification method (Harrington and O’Donoghue, 1998; Cloke and Edwards, 1986; Cloke, 1977). </w:t>
      </w:r>
      <w:r>
        <w:rPr>
          <w:rFonts w:cs="Times New Roman"/>
          <w:szCs w:val="24"/>
        </w:rPr>
        <w:lastRenderedPageBreak/>
        <w:t xml:space="preserve">Besides, the average rurality index score for all the three districts including Khulna, Satkhira and Bagerhat has been calculated for characterizing them based on the </w:t>
      </w:r>
      <w:r w:rsidR="008240E0">
        <w:rPr>
          <w:rFonts w:cs="Times New Roman"/>
          <w:szCs w:val="24"/>
        </w:rPr>
        <w:t>relative rurality</w:t>
      </w:r>
      <w:r>
        <w:rPr>
          <w:rFonts w:cs="Times New Roman"/>
          <w:szCs w:val="24"/>
        </w:rPr>
        <w:t>. Finally</w:t>
      </w:r>
      <w:r w:rsidR="007A3C94">
        <w:rPr>
          <w:rFonts w:cs="Times New Roman"/>
          <w:szCs w:val="24"/>
        </w:rPr>
        <w:t>, the outputs elicited from this</w:t>
      </w:r>
      <w:r>
        <w:rPr>
          <w:rFonts w:cs="Times New Roman"/>
          <w:szCs w:val="24"/>
        </w:rPr>
        <w:t xml:space="preserve"> rurality indexing have been linked with their corresponding spatial data sets in GIS interface (ArcGIS Pro) with a view to develop rurality map ch</w:t>
      </w:r>
      <w:r w:rsidR="007A3C94">
        <w:rPr>
          <w:rFonts w:cs="Times New Roman"/>
          <w:szCs w:val="24"/>
        </w:rPr>
        <w:t>aracterizing rural areas</w:t>
      </w:r>
      <w:r w:rsidR="00CE2EE1">
        <w:rPr>
          <w:rFonts w:cs="Times New Roman"/>
          <w:szCs w:val="24"/>
        </w:rPr>
        <w:t xml:space="preserve"> into four cluster</w:t>
      </w:r>
      <w:r w:rsidR="004F22AB">
        <w:rPr>
          <w:rFonts w:cs="Times New Roman"/>
          <w:szCs w:val="24"/>
        </w:rPr>
        <w:t>s</w:t>
      </w:r>
      <w:r w:rsidR="00CE2EE1">
        <w:rPr>
          <w:rFonts w:cs="Times New Roman"/>
          <w:szCs w:val="24"/>
        </w:rPr>
        <w:t xml:space="preserve"> </w:t>
      </w:r>
      <w:r w:rsidR="004454DD">
        <w:rPr>
          <w:rFonts w:cs="Times New Roman"/>
          <w:szCs w:val="24"/>
        </w:rPr>
        <w:t xml:space="preserve">within the study area </w:t>
      </w:r>
      <w:r w:rsidR="00CE2EE1">
        <w:rPr>
          <w:rFonts w:cs="Times New Roman"/>
          <w:szCs w:val="24"/>
        </w:rPr>
        <w:t>as mentioned above.</w:t>
      </w:r>
    </w:p>
    <w:p w:rsidR="00B70B64" w:rsidRDefault="00B70B64" w:rsidP="00B926EB">
      <w:pPr>
        <w:pStyle w:val="Heading1"/>
        <w:numPr>
          <w:ilvl w:val="0"/>
          <w:numId w:val="8"/>
        </w:numPr>
        <w:rPr>
          <w:rFonts w:ascii="Times New Roman" w:hAnsi="Times New Roman" w:cs="Times New Roman"/>
          <w:b/>
          <w:color w:val="auto"/>
          <w:sz w:val="24"/>
          <w:szCs w:val="24"/>
        </w:rPr>
      </w:pPr>
      <w:r>
        <w:rPr>
          <w:rFonts w:ascii="Times New Roman" w:hAnsi="Times New Roman" w:cs="Times New Roman"/>
          <w:b/>
          <w:color w:val="auto"/>
          <w:sz w:val="24"/>
          <w:szCs w:val="24"/>
        </w:rPr>
        <w:t>Re</w:t>
      </w:r>
      <w:r w:rsidR="00B926EB">
        <w:rPr>
          <w:rFonts w:ascii="Times New Roman" w:hAnsi="Times New Roman" w:cs="Times New Roman"/>
          <w:b/>
          <w:color w:val="auto"/>
          <w:sz w:val="24"/>
          <w:szCs w:val="24"/>
        </w:rPr>
        <w:t>sults</w:t>
      </w:r>
    </w:p>
    <w:p w:rsidR="0010655D" w:rsidRDefault="00046225" w:rsidP="0010655D">
      <w:r>
        <w:t xml:space="preserve">We have epitomized our findings into two main parts such as (i) Relative rurality </w:t>
      </w:r>
      <w:r w:rsidR="00D52C89">
        <w:t>among the case study areas has be</w:t>
      </w:r>
      <w:r w:rsidR="008B2879">
        <w:t xml:space="preserve">en depicted through juxtaposing their rurality profiles, (ii) Characterizing </w:t>
      </w:r>
      <w:r w:rsidR="004D1812">
        <w:t>rural areas within the investigated districts at U</w:t>
      </w:r>
      <w:r w:rsidR="00CB16E0">
        <w:t>nion level based on the degree of rurality.</w:t>
      </w:r>
    </w:p>
    <w:p w:rsidR="0010655D" w:rsidRDefault="0010655D" w:rsidP="0010655D">
      <w:pPr>
        <w:pStyle w:val="Heading2"/>
        <w:numPr>
          <w:ilvl w:val="1"/>
          <w:numId w:val="8"/>
        </w:numPr>
        <w:rPr>
          <w:rFonts w:ascii="Times New Roman" w:hAnsi="Times New Roman" w:cs="Times New Roman"/>
          <w:color w:val="auto"/>
          <w:sz w:val="24"/>
          <w:szCs w:val="24"/>
        </w:rPr>
      </w:pPr>
      <w:r>
        <w:rPr>
          <w:rFonts w:ascii="Times New Roman" w:hAnsi="Times New Roman" w:cs="Times New Roman"/>
          <w:color w:val="auto"/>
          <w:sz w:val="24"/>
          <w:szCs w:val="24"/>
        </w:rPr>
        <w:t>Relative Rurality among the Case Study Areas</w:t>
      </w:r>
    </w:p>
    <w:p w:rsidR="003F70C4" w:rsidRDefault="00E274CD" w:rsidP="00BB136F">
      <w:r>
        <w:t>Once Union-level rurality index is measured, relative rurality score for each of the case study areas (e.g., Satkhira, Khulna and Bagerhat districts) has been educed averaging the ruralit</w:t>
      </w:r>
      <w:r w:rsidR="007B09D4">
        <w:t>y index scores of the underlying Un</w:t>
      </w:r>
      <w:r w:rsidR="00DB534A">
        <w:t>io</w:t>
      </w:r>
      <w:r w:rsidR="004F6FCA">
        <w:t xml:space="preserve">ns and has been rendered in </w:t>
      </w:r>
      <w:hyperlink w:anchor="_Figure_4:_Rurality_2" w:history="1">
        <w:r w:rsidR="004F6FCA" w:rsidRPr="00CE4EF3">
          <w:rPr>
            <w:rStyle w:val="Hyperlink"/>
            <w:color w:val="auto"/>
            <w:u w:val="none"/>
          </w:rPr>
          <w:t>Figure 4</w:t>
        </w:r>
      </w:hyperlink>
      <w:r w:rsidR="004F6FCA">
        <w:t>.</w:t>
      </w:r>
      <w:r w:rsidR="00BB136F">
        <w:t xml:space="preserve"> </w:t>
      </w:r>
      <w:r w:rsidR="00191E94">
        <w:t>The figure reveals that Satkhira</w:t>
      </w:r>
      <w:r w:rsidR="00BB136F">
        <w:t xml:space="preserve"> district is characteriz</w:t>
      </w:r>
      <w:r w:rsidR="00191E94">
        <w:t>ed with higher rurality (</w:t>
      </w:r>
      <w:r w:rsidR="00BA5F95">
        <w:t>relative rurality score, RI=</w:t>
      </w:r>
      <w:r w:rsidR="00191E94">
        <w:t>4.23</w:t>
      </w:r>
      <w:r w:rsidR="00BB136F">
        <w:t>) than that of Khulna</w:t>
      </w:r>
      <w:r w:rsidR="00F725B9">
        <w:t xml:space="preserve"> (</w:t>
      </w:r>
      <w:r w:rsidR="00BA5F95">
        <w:t>relative rurality score, RI=</w:t>
      </w:r>
      <w:r w:rsidR="00191E94">
        <w:t>3.58</w:t>
      </w:r>
      <w:r w:rsidR="00BB136F">
        <w:t xml:space="preserve">) </w:t>
      </w:r>
      <w:r w:rsidR="00191E94">
        <w:t xml:space="preserve">and Bagerhat </w:t>
      </w:r>
      <w:r w:rsidR="00BA5F95">
        <w:t>(relative rurality score, RI=</w:t>
      </w:r>
      <w:r w:rsidR="0011560E">
        <w:t>4.14</w:t>
      </w:r>
      <w:r w:rsidR="003F70C4">
        <w:t>).</w:t>
      </w:r>
    </w:p>
    <w:p w:rsidR="00B95AFF" w:rsidRDefault="00B95AFF" w:rsidP="00B95AFF">
      <w:pPr>
        <w:pStyle w:val="Heading2"/>
        <w:numPr>
          <w:ilvl w:val="1"/>
          <w:numId w:val="8"/>
        </w:numPr>
        <w:rPr>
          <w:rFonts w:ascii="Times New Roman" w:hAnsi="Times New Roman" w:cs="Times New Roman"/>
          <w:color w:val="auto"/>
          <w:sz w:val="24"/>
          <w:szCs w:val="24"/>
        </w:rPr>
      </w:pPr>
      <w:r>
        <w:rPr>
          <w:rFonts w:ascii="Times New Roman" w:hAnsi="Times New Roman" w:cs="Times New Roman"/>
          <w:color w:val="auto"/>
          <w:sz w:val="24"/>
          <w:szCs w:val="24"/>
        </w:rPr>
        <w:t>Characterizing Rural</w:t>
      </w:r>
      <w:r w:rsidR="00125EF8">
        <w:rPr>
          <w:rFonts w:ascii="Times New Roman" w:hAnsi="Times New Roman" w:cs="Times New Roman"/>
          <w:color w:val="auto"/>
          <w:sz w:val="24"/>
          <w:szCs w:val="24"/>
        </w:rPr>
        <w:t xml:space="preserve"> Areas at Union-Level</w:t>
      </w:r>
    </w:p>
    <w:p w:rsidR="00125EF8" w:rsidRPr="00125EF8" w:rsidRDefault="00125EF8" w:rsidP="00125EF8">
      <w:r>
        <w:t>The Unions underlying the case study areas are characterized based on the functionality of the adopted rural characteristics that shape the areas within a rural-urban continuum</w:t>
      </w:r>
      <w:r w:rsidRPr="00CE4EF3">
        <w:t xml:space="preserve">. </w:t>
      </w:r>
      <w:hyperlink w:anchor="_Figure_4:_Rurality_2" w:history="1">
        <w:r w:rsidRPr="00CE4EF3">
          <w:rPr>
            <w:rStyle w:val="Hyperlink"/>
            <w:color w:val="auto"/>
            <w:u w:val="none"/>
          </w:rPr>
          <w:t>Figure 4</w:t>
        </w:r>
      </w:hyperlink>
      <w:r>
        <w:t xml:space="preserve"> shows that the Unions have been clustered into four self-explanatory categories such as extremely rural, intermediate rural, intermediate non-</w:t>
      </w:r>
      <w:r>
        <w:lastRenderedPageBreak/>
        <w:t>rural and extremely non-rural.</w:t>
      </w:r>
      <w:r w:rsidRPr="00125EF8">
        <w:t xml:space="preserve"> </w:t>
      </w:r>
      <w:r>
        <w:t xml:space="preserve">The areas having rurality index score less than or equal to 2.662 has been characterized as extremely non-rural areas whereas areas having rurality index score more than 4.414 have been distinguished as extremely rural. </w:t>
      </w:r>
      <w:r>
        <w:rPr>
          <w:noProof/>
          <w:lang w:val="en-GB" w:eastAsia="en-GB"/>
        </w:rPr>
        <w:drawing>
          <wp:anchor distT="0" distB="0" distL="114300" distR="114300" simplePos="0" relativeHeight="251701248" behindDoc="0" locked="0" layoutInCell="1" allowOverlap="1" wp14:anchorId="0817E095" wp14:editId="170F6A01">
            <wp:simplePos x="0" y="0"/>
            <wp:positionH relativeFrom="margin">
              <wp:posOffset>70485</wp:posOffset>
            </wp:positionH>
            <wp:positionV relativeFrom="margin">
              <wp:posOffset>1381760</wp:posOffset>
            </wp:positionV>
            <wp:extent cx="5046345" cy="6530975"/>
            <wp:effectExtent l="0" t="0" r="1905" b="3175"/>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046345" cy="6530975"/>
                    </a:xfrm>
                    <a:prstGeom prst="rect">
                      <a:avLst/>
                    </a:prstGeom>
                  </pic:spPr>
                </pic:pic>
              </a:graphicData>
            </a:graphic>
            <wp14:sizeRelH relativeFrom="margin">
              <wp14:pctWidth>0</wp14:pctWidth>
            </wp14:sizeRelH>
            <wp14:sizeRelV relativeFrom="margin">
              <wp14:pctHeight>0</wp14:pctHeight>
            </wp14:sizeRelV>
          </wp:anchor>
        </w:drawing>
      </w:r>
      <w:r>
        <w:t>Rurality scores greate</w:t>
      </w:r>
      <w:r w:rsidR="00B03E1B">
        <w:t>r than 2.662 but</w:t>
      </w:r>
      <w:r w:rsidR="00AE1273">
        <w:t xml:space="preserve"> less than or equal to 3.538 have been defined</w:t>
      </w:r>
      <w:r>
        <w:t xml:space="preserve">           </w:t>
      </w:r>
    </w:p>
    <w:bookmarkStart w:id="9" w:name="_Figure_4:_Rurality_1"/>
    <w:bookmarkEnd w:id="9"/>
    <w:p w:rsidR="00CE4EF3" w:rsidRDefault="009E06AC" w:rsidP="00BB136F">
      <w:r>
        <w:rPr>
          <w:noProof/>
          <w:lang w:val="en-GB" w:eastAsia="en-GB"/>
        </w:rPr>
        <mc:AlternateContent>
          <mc:Choice Requires="wps">
            <w:drawing>
              <wp:anchor distT="45720" distB="45720" distL="114300" distR="114300" simplePos="0" relativeHeight="251656189" behindDoc="0" locked="0" layoutInCell="1" allowOverlap="1" wp14:anchorId="2AA11B54" wp14:editId="01A21FAA">
                <wp:simplePos x="0" y="0"/>
                <wp:positionH relativeFrom="column">
                  <wp:posOffset>225425</wp:posOffset>
                </wp:positionH>
                <wp:positionV relativeFrom="margin">
                  <wp:align>bottom</wp:align>
                </wp:positionV>
                <wp:extent cx="4657725" cy="335915"/>
                <wp:effectExtent l="0" t="0" r="0" b="0"/>
                <wp:wrapThrough wrapText="bothSides">
                  <wp:wrapPolygon edited="0">
                    <wp:start x="265" y="0"/>
                    <wp:lineTo x="265" y="19599"/>
                    <wp:lineTo x="21291" y="19599"/>
                    <wp:lineTo x="21291" y="0"/>
                    <wp:lineTo x="265"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57725" cy="335915"/>
                        </a:xfrm>
                        <a:prstGeom prst="rect">
                          <a:avLst/>
                        </a:prstGeom>
                        <a:noFill/>
                        <a:ln w="9525">
                          <a:noFill/>
                          <a:miter lim="800000"/>
                          <a:headEnd/>
                          <a:tailEnd/>
                        </a:ln>
                      </wps:spPr>
                      <wps:txbx>
                        <w:txbxContent>
                          <w:p w:rsidR="00C4740B" w:rsidRPr="00125EF8" w:rsidRDefault="00C4740B" w:rsidP="00CE4EF3">
                            <w:pPr>
                              <w:pStyle w:val="Heading4"/>
                              <w:jc w:val="center"/>
                              <w:rPr>
                                <w:rFonts w:ascii="Times New Roman" w:hAnsi="Times New Roman" w:cs="Times New Roman"/>
                                <w:i w:val="0"/>
                                <w:color w:val="auto"/>
                                <w:sz w:val="22"/>
                              </w:rPr>
                            </w:pPr>
                            <w:bookmarkStart w:id="10" w:name="_Figure_4:_Rurality_2"/>
                            <w:bookmarkEnd w:id="10"/>
                            <w:r>
                              <w:rPr>
                                <w:rFonts w:ascii="Times New Roman" w:hAnsi="Times New Roman" w:cs="Times New Roman"/>
                                <w:i w:val="0"/>
                                <w:color w:val="auto"/>
                                <w:sz w:val="22"/>
                              </w:rPr>
                              <w:t>Figure 4: Rurality map characterizing rural areas of the investigated districts</w:t>
                            </w:r>
                          </w:p>
                          <w:p w:rsidR="00C4740B" w:rsidRDefault="00C4740B" w:rsidP="00CE4EF3">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A11B54" id="_x0000_s1046" type="#_x0000_t202" style="position:absolute;left:0;text-align:left;margin-left:17.75pt;margin-top:0;width:366.75pt;height:26.45pt;z-index:251656189;visibility:visible;mso-wrap-style:square;mso-width-percent:0;mso-height-percent:0;mso-wrap-distance-left:9pt;mso-wrap-distance-top:3.6pt;mso-wrap-distance-right:9pt;mso-wrap-distance-bottom:3.6pt;mso-position-horizontal:absolute;mso-position-horizontal-relative:text;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" filled="f" stroked="f">
                <v:textbox>
                  <w:txbxContent>
                    <w:p w:rsidR="00C4740B" w:rsidRPr="00125EF8" w:rsidRDefault="00C4740B" w:rsidP="00CE4EF3">
                      <w:pPr>
                        <w:pStyle w:val="Heading4"/>
                        <w:jc w:val="center"/>
                        <w:rPr>
                          <w:rFonts w:ascii="Times New Roman" w:hAnsi="Times New Roman" w:cs="Times New Roman"/>
                          <w:i w:val="0"/>
                          <w:color w:val="auto"/>
                          <w:sz w:val="22"/>
                        </w:rPr>
                      </w:pPr>
                      <w:bookmarkStart w:id="13" w:name="_Figure_4:_Rurality_2"/>
                      <w:bookmarkEnd w:id="13"/>
                      <w:r>
                        <w:rPr>
                          <w:rFonts w:ascii="Times New Roman" w:hAnsi="Times New Roman" w:cs="Times New Roman"/>
                          <w:i w:val="0"/>
                          <w:color w:val="auto"/>
                          <w:sz w:val="22"/>
                        </w:rPr>
                        <w:t>Figure 4: Rurality map characterizing rural areas of the investigated districts</w:t>
                      </w:r>
                    </w:p>
                    <w:p w:rsidR="00C4740B" w:rsidRDefault="00C4740B" w:rsidP="00CE4EF3">
                      <w:pPr>
                        <w:jc w:val="center"/>
                      </w:pPr>
                    </w:p>
                  </w:txbxContent>
                </v:textbox>
                <w10:wrap type="through" anchory="margin"/>
              </v:shape>
            </w:pict>
          </mc:Fallback>
        </mc:AlternateContent>
      </w:r>
    </w:p>
    <w:p w:rsidR="00CC0D9C" w:rsidRDefault="00AE1273" w:rsidP="00BB136F">
      <w:r>
        <w:lastRenderedPageBreak/>
        <w:t xml:space="preserve">as </w:t>
      </w:r>
      <w:r w:rsidR="00CE4EF3">
        <w:t xml:space="preserve">intermediate non-rural and areas measured with rurality score greater than 3.538 but less than </w:t>
      </w:r>
      <w:r w:rsidR="009C6A99">
        <w:t xml:space="preserve">or equal to </w:t>
      </w:r>
      <w:r w:rsidR="00CE4EF3">
        <w:t>4.414 have been clustered as intermediate rural.</w:t>
      </w:r>
      <w:r w:rsidR="009A2A42">
        <w:t xml:space="preserve"> </w:t>
      </w:r>
      <w:r w:rsidR="007167B0">
        <w:t>This</w:t>
      </w:r>
      <w:r w:rsidR="005E2C57">
        <w:t xml:space="preserve"> clustering has been performed based on a quartile classification method as mentioned in the previous section.</w:t>
      </w:r>
    </w:p>
    <w:p w:rsidR="00CC0D9C" w:rsidRPr="00CC0D9C" w:rsidRDefault="00CC0D9C" w:rsidP="00CC0D9C">
      <w:pPr>
        <w:pStyle w:val="Heading3"/>
        <w:numPr>
          <w:ilvl w:val="2"/>
          <w:numId w:val="8"/>
        </w:numPr>
      </w:pPr>
      <w:r>
        <w:rPr>
          <w:rFonts w:ascii="Times New Roman" w:hAnsi="Times New Roman" w:cs="Times New Roman"/>
          <w:color w:val="auto"/>
        </w:rPr>
        <w:t>Characterizing Rural Areas in Khulna District</w:t>
      </w:r>
    </w:p>
    <w:p w:rsidR="004C706B" w:rsidRDefault="008B1EE2" w:rsidP="00CC0D9C">
      <w:pPr>
        <w:rPr>
          <w:rFonts w:cs="Times New Roman"/>
        </w:rPr>
      </w:pPr>
      <w:hyperlink w:anchor="_Figure_4:_Rurality_2" w:history="1">
        <w:r w:rsidR="006C0BB9" w:rsidRPr="006C0BB9">
          <w:rPr>
            <w:rStyle w:val="Hyperlink"/>
            <w:color w:val="auto"/>
            <w:u w:val="none"/>
          </w:rPr>
          <w:t>Figure 4</w:t>
        </w:r>
      </w:hyperlink>
      <w:r w:rsidR="006C0BB9">
        <w:t xml:space="preserve"> shows that</w:t>
      </w:r>
      <w:r w:rsidR="0066427C">
        <w:t xml:space="preserve"> Senhati Union, Ward </w:t>
      </w:r>
      <w:r w:rsidR="0066427C">
        <w:rPr>
          <w:rFonts w:cs="Times New Roman"/>
        </w:rPr>
        <w:t xml:space="preserve">(i.e., optional division of city or town) 2 (part), Ward 10, 11, 12 and 14 to 31 of Khulna district </w:t>
      </w:r>
      <w:r w:rsidR="00CA7D02">
        <w:rPr>
          <w:rFonts w:cs="Times New Roman"/>
        </w:rPr>
        <w:t>are spatially distributed as extremely non-rural whereas Aijganta, Atra Gilatala, Chalna Paurashava, Damodar, Dighalia, Jalma, Jugipole, Naihati, Paikgacha Paurashava, Phultala, Sreefatala Unions, Ward 1, 2 (part), 3, 5 to 9, and 13</w:t>
      </w:r>
      <w:r w:rsidR="00EE5369">
        <w:rPr>
          <w:rFonts w:cs="Times New Roman"/>
        </w:rPr>
        <w:t xml:space="preserve"> are identified as intermediate non-rur</w:t>
      </w:r>
      <w:r w:rsidR="0040136C">
        <w:rPr>
          <w:rFonts w:cs="Times New Roman"/>
        </w:rPr>
        <w:t xml:space="preserve">al areas of the district. On the other hand, </w:t>
      </w:r>
      <w:r w:rsidR="00CF5EFB">
        <w:rPr>
          <w:rFonts w:cs="Times New Roman"/>
        </w:rPr>
        <w:t>Ward 4, Ajugara, Amirpur, Aranghata, Atlia, Bajua, Baniashanta, Barakpur, Barasat, Batiaghata, Dhamalia, Dumuria, Gangarampur, Garuikhali, Ghatbhogh, Gutudia, Haridhali, Jamira, Kailasganj, Kamarkhola, Kapilmuni, Kharnia, Laskar, Laudubi, Madhupur, Pankhali, Raghunathpur, Rangpur, Raruli, Rudaghara, Sachiadah, Sagladah, Sutarkhali, T.S. Bahirdia and Terokhada Unions have been characterized as intermediate rural areas in Khulna district</w:t>
      </w:r>
      <w:r w:rsidR="008A750C">
        <w:rPr>
          <w:rFonts w:cs="Times New Roman"/>
        </w:rPr>
        <w:t xml:space="preserve"> (see </w:t>
      </w:r>
      <w:hyperlink w:anchor="_Figure_4:_Rurality_2" w:history="1">
        <w:r w:rsidR="008A750C" w:rsidRPr="008A750C">
          <w:rPr>
            <w:rStyle w:val="Hyperlink"/>
            <w:rFonts w:cs="Times New Roman"/>
            <w:color w:val="auto"/>
            <w:u w:val="none"/>
          </w:rPr>
          <w:t>Figure 4</w:t>
        </w:r>
      </w:hyperlink>
      <w:r w:rsidR="008A750C">
        <w:rPr>
          <w:rFonts w:cs="Times New Roman"/>
        </w:rPr>
        <w:t>)</w:t>
      </w:r>
      <w:r w:rsidR="00CF5EFB">
        <w:rPr>
          <w:rFonts w:cs="Times New Roman"/>
        </w:rPr>
        <w:t>.</w:t>
      </w:r>
      <w:r w:rsidR="004A0485">
        <w:rPr>
          <w:rFonts w:cs="Times New Roman"/>
        </w:rPr>
        <w:t xml:space="preserve"> The other twenty-six Unions under the district have been identified as extremely rural areas.</w:t>
      </w:r>
      <w:r w:rsidR="00271FD8">
        <w:rPr>
          <w:rFonts w:cs="Times New Roman"/>
        </w:rPr>
        <w:t xml:space="preserve"> However, highest extent of non-rurality or urbanity has been calculated for Ward 11 (RI=1.786) whereas highest extent of rurality has been elicited for Nalian Range (RI=5.239) in Khulna district.</w:t>
      </w:r>
    </w:p>
    <w:p w:rsidR="004C706B" w:rsidRPr="004C706B" w:rsidRDefault="004C706B" w:rsidP="004C706B">
      <w:pPr>
        <w:pStyle w:val="Heading3"/>
        <w:numPr>
          <w:ilvl w:val="2"/>
          <w:numId w:val="8"/>
        </w:numPr>
      </w:pPr>
      <w:r>
        <w:rPr>
          <w:rFonts w:ascii="Times New Roman" w:hAnsi="Times New Roman" w:cs="Times New Roman"/>
          <w:color w:val="auto"/>
        </w:rPr>
        <w:t>Characterizing Rural Areas in Bagerhat District</w:t>
      </w:r>
    </w:p>
    <w:p w:rsidR="00463E9A" w:rsidRDefault="000B3FA4" w:rsidP="004C706B">
      <w:r>
        <w:t xml:space="preserve">Bagerhat Paurashava and Sarankhola Range have been characterized as extremely non-rural in Bagerhat district whereas Chandpai Range, Panchakaran, Putikhali, </w:t>
      </w:r>
      <w:r>
        <w:lastRenderedPageBreak/>
        <w:t xml:space="preserve">Teligati, Banagram, Bhojpatia, Rajnagar, Hoglabunia, Dhansagar, Santoshpur, Baraikhali, Gaola, Gaurambha, Daibagnyahati, Kodalia, Jiudhara, Hizla, Bara Baria, Chingrakhali, Dakshin Khali, Baintala, Chunkhola, Char Baniari, Balaibunia, Malliker Ber, Dema, Ujalkur, Khuolia, Kalatala, Ramchandrapur, Hogla Pasha and Chitolmari Union of the district have been identified as </w:t>
      </w:r>
      <w:r w:rsidR="005103D3">
        <w:t>extremely rural areas</w:t>
      </w:r>
      <w:r w:rsidR="00B870A3">
        <w:t xml:space="preserve"> (see </w:t>
      </w:r>
      <w:hyperlink w:anchor="_Figure_4:_Rurality_2" w:history="1">
        <w:r w:rsidR="00B870A3" w:rsidRPr="00B870A3">
          <w:rPr>
            <w:rStyle w:val="Hyperlink"/>
            <w:color w:val="auto"/>
            <w:u w:val="none"/>
          </w:rPr>
          <w:t>Figure 4</w:t>
        </w:r>
      </w:hyperlink>
      <w:r w:rsidR="00B870A3">
        <w:t>)</w:t>
      </w:r>
      <w:r w:rsidR="005103D3">
        <w:t>. Mongla Port Paurashava,</w:t>
      </w:r>
      <w:r w:rsidR="005103D3" w:rsidRPr="005103D3">
        <w:t xml:space="preserve"> </w:t>
      </w:r>
      <w:r w:rsidR="005103D3">
        <w:t>Morrelganj Paurashava, Burirdanga, Fakirhat, Kara Para, Bahirdia Mansha and Mithakhali Union</w:t>
      </w:r>
      <w:r w:rsidR="00542DE6">
        <w:t xml:space="preserve">s </w:t>
      </w:r>
      <w:r w:rsidR="001D49B4">
        <w:t>of the district are spatially distributed as</w:t>
      </w:r>
      <w:r w:rsidR="00C71F8D">
        <w:t xml:space="preserve"> intermediate non-rural areas and t</w:t>
      </w:r>
      <w:r w:rsidR="00653788">
        <w:t>he other thirty-nine Unions under Bagerhat district have been denoted as</w:t>
      </w:r>
      <w:r w:rsidR="008A750C">
        <w:t xml:space="preserve"> intermediate rural</w:t>
      </w:r>
      <w:r w:rsidR="00C71F8D">
        <w:t xml:space="preserve"> (see </w:t>
      </w:r>
      <w:hyperlink w:anchor="_Figure_4:_Rurality_2" w:history="1">
        <w:r w:rsidR="00C71F8D" w:rsidRPr="00B870A3">
          <w:rPr>
            <w:rStyle w:val="Hyperlink"/>
            <w:color w:val="auto"/>
            <w:u w:val="none"/>
          </w:rPr>
          <w:t>Figure 4</w:t>
        </w:r>
      </w:hyperlink>
      <w:r w:rsidR="00C71F8D">
        <w:t>)</w:t>
      </w:r>
      <w:r w:rsidR="008A750C">
        <w:t>. Lowest extent of rurality in the district has been calculated in Bagerhat Paurashava (RI=2.324) and highest extent of rurality has been</w:t>
      </w:r>
      <w:r w:rsidR="00367A12">
        <w:t xml:space="preserve"> measured for Chandpai Range (RI=5.281)</w:t>
      </w:r>
      <w:r w:rsidR="00463E9A">
        <w:t>.</w:t>
      </w:r>
    </w:p>
    <w:p w:rsidR="00F11F1B" w:rsidRPr="00F11F1B" w:rsidRDefault="00F11F1B" w:rsidP="00F11F1B">
      <w:pPr>
        <w:pStyle w:val="Heading3"/>
        <w:numPr>
          <w:ilvl w:val="2"/>
          <w:numId w:val="8"/>
        </w:numPr>
      </w:pPr>
      <w:r>
        <w:rPr>
          <w:rFonts w:ascii="Times New Roman" w:hAnsi="Times New Roman" w:cs="Times New Roman"/>
          <w:color w:val="auto"/>
        </w:rPr>
        <w:t>Characterizing Rural Areas in Satkhira District</w:t>
      </w:r>
    </w:p>
    <w:p w:rsidR="00E92751" w:rsidRDefault="00444C63" w:rsidP="00F11F1B">
      <w:r>
        <w:t xml:space="preserve">The rurality map (see </w:t>
      </w:r>
      <w:hyperlink w:anchor="_Figure_4:_Rurality_2" w:history="1">
        <w:r w:rsidRPr="00444C63">
          <w:rPr>
            <w:rStyle w:val="Hyperlink"/>
            <w:color w:val="auto"/>
            <w:u w:val="none"/>
          </w:rPr>
          <w:t>Figure 4</w:t>
        </w:r>
      </w:hyperlink>
      <w:r>
        <w:t>)</w:t>
      </w:r>
      <w:r w:rsidR="002B45FF">
        <w:t xml:space="preserve"> discloses that Anulia, Atulia, Buri Goalini, Dhalbaria, Dhandia, Gabura, Ghona, Ishwaripur, Islamkati, Jalapur, Joynagar, Kaikhali, Keragacchi, Khajra, Khalilnagar, Khesra, Kulla, Kushkhali, Magura, Munshiganj, Nunnagar, Pratap Nagar, Ramjan Nagar, Satkhira Range, Sonabaria, Sreeula and Tentulia Unions under Satkhira district are characterized as extremely rural whereas Satkhira Paurashava has been characterized with higher extent of non-rurality. </w:t>
      </w:r>
      <w:r w:rsidR="00307B6D">
        <w:t xml:space="preserve">The map also shows that Bara Simla, Debhata, Labsa, Sakhipur and Shyamnagar Unions of the district have been identified as intermediate non-rural and the other forty-nine Unions as Intermediate rural (see </w:t>
      </w:r>
      <w:hyperlink w:anchor="_Figure_4:_Rurality_2" w:history="1">
        <w:r w:rsidR="00307B6D" w:rsidRPr="00307B6D">
          <w:rPr>
            <w:rStyle w:val="Hyperlink"/>
            <w:color w:val="auto"/>
            <w:u w:val="none"/>
          </w:rPr>
          <w:t>Figure 4</w:t>
        </w:r>
      </w:hyperlink>
      <w:r w:rsidR="00307B6D">
        <w:t>).</w:t>
      </w:r>
      <w:r w:rsidR="00D526D0">
        <w:t xml:space="preserve"> I</w:t>
      </w:r>
      <w:r w:rsidR="00916245">
        <w:t>t has been elicited</w:t>
      </w:r>
      <w:r w:rsidR="00D526D0">
        <w:t xml:space="preserve"> from the analysis that</w:t>
      </w:r>
      <w:r w:rsidR="00916245">
        <w:t xml:space="preserve"> Satkhira Paurashava is characterized with lowest extent of rural functionality </w:t>
      </w:r>
      <w:r w:rsidR="00916245">
        <w:lastRenderedPageBreak/>
        <w:t>(RI=2.562) whereas highest degree of rural characteristics is functional in Satkhira Range (RI=5.289).</w:t>
      </w:r>
      <w:r w:rsidR="002522AB">
        <w:t xml:space="preserve"> </w:t>
      </w:r>
    </w:p>
    <w:p w:rsidR="00E92751" w:rsidRDefault="00E92751" w:rsidP="00E92751">
      <w:pPr>
        <w:pStyle w:val="Heading1"/>
        <w:rPr>
          <w:rFonts w:ascii="Times New Roman" w:hAnsi="Times New Roman" w:cs="Times New Roman"/>
          <w:b/>
          <w:color w:val="auto"/>
          <w:sz w:val="24"/>
          <w:szCs w:val="24"/>
        </w:rPr>
      </w:pPr>
      <w:r>
        <w:rPr>
          <w:rFonts w:ascii="Times New Roman" w:hAnsi="Times New Roman" w:cs="Times New Roman"/>
          <w:b/>
          <w:color w:val="auto"/>
          <w:sz w:val="24"/>
          <w:szCs w:val="24"/>
        </w:rPr>
        <w:t>5. Discussion</w:t>
      </w:r>
    </w:p>
    <w:p w:rsidR="001F7BDB" w:rsidRDefault="009B1400" w:rsidP="00E92751">
      <w:r>
        <w:t>We have characterized rural areas of th</w:t>
      </w:r>
      <w:r w:rsidR="002522AB">
        <w:t>e study area</w:t>
      </w:r>
      <w:r>
        <w:t xml:space="preserve"> based on the degree of functionality of the adopted indicators utilizing rurality indexing approach. Upon summarizing the information educed from the analysis we performed, we can see that Satkhira district has been denoted with higher rurality whereas Khulna has been characterized with lower rurality (See </w:t>
      </w:r>
      <w:hyperlink w:anchor="_Figure_4:_Rurality_2" w:history="1">
        <w:r w:rsidRPr="009B1400">
          <w:rPr>
            <w:rStyle w:val="Hyperlink"/>
            <w:color w:val="auto"/>
            <w:u w:val="none"/>
          </w:rPr>
          <w:t>Figure 4</w:t>
        </w:r>
      </w:hyperlink>
      <w:r>
        <w:t>).</w:t>
      </w:r>
      <w:r w:rsidR="00FF3DF0">
        <w:t xml:space="preserve"> </w:t>
      </w:r>
      <w:r w:rsidR="00F219E5">
        <w:t>However, there is slight differ</w:t>
      </w:r>
      <w:r w:rsidR="006E7CD1">
        <w:t>ence between Satkhira and Bagerhat</w:t>
      </w:r>
      <w:r w:rsidR="00F219E5">
        <w:t xml:space="preserve"> districts in terms of their rela</w:t>
      </w:r>
      <w:r w:rsidR="0064468D">
        <w:t>tiv</w:t>
      </w:r>
      <w:r w:rsidR="00E81FD9">
        <w:t xml:space="preserve">e rurality profiles. Rural-urban disparity among the districts can explain why one area is more rural than the others. </w:t>
      </w:r>
      <w:r w:rsidR="00DB7087">
        <w:t xml:space="preserve">From the </w:t>
      </w:r>
      <w:r w:rsidR="00AF4A66">
        <w:t>analysis, it has been educed</w:t>
      </w:r>
      <w:r w:rsidR="00DB7087">
        <w:t xml:space="preserve"> that disparity exist among the non-rural (or urban) areas underlying individual districts which </w:t>
      </w:r>
      <w:r w:rsidR="00276A3D">
        <w:t xml:space="preserve">is also true for rural areas </w:t>
      </w:r>
      <w:r w:rsidR="00DB286D">
        <w:t xml:space="preserve">(see </w:t>
      </w:r>
      <w:hyperlink w:anchor="_Table_7:_Rural-urban" w:history="1">
        <w:r w:rsidR="00DB286D" w:rsidRPr="00DB286D">
          <w:rPr>
            <w:rStyle w:val="Hyperlink"/>
            <w:color w:val="auto"/>
            <w:u w:val="none"/>
          </w:rPr>
          <w:t>Table 7</w:t>
        </w:r>
      </w:hyperlink>
      <w:r w:rsidR="00DB286D">
        <w:t>)</w:t>
      </w:r>
      <w:r w:rsidR="00DB7087">
        <w:t xml:space="preserve">. </w:t>
      </w:r>
      <w:r w:rsidR="00743E4C">
        <w:t>Th</w:t>
      </w:r>
      <w:r w:rsidR="001F7BDB">
        <w:t>e rurality indexing shows that non-rural areas of Khulna district are characterized with comparably lower extent of rural functionality and higher extent of urban functionality than that of Bagerhat and Satkhira districts</w:t>
      </w:r>
      <w:r w:rsidR="002D14F8">
        <w:t xml:space="preserve"> (see </w:t>
      </w:r>
      <w:hyperlink w:anchor="_Table_7:_Rural-urban" w:history="1">
        <w:r w:rsidR="002D14F8" w:rsidRPr="00DB286D">
          <w:rPr>
            <w:rStyle w:val="Hyperlink"/>
            <w:color w:val="auto"/>
            <w:u w:val="none"/>
          </w:rPr>
          <w:t>Table 7</w:t>
        </w:r>
      </w:hyperlink>
      <w:r w:rsidR="002D14F8">
        <w:t>)</w:t>
      </w:r>
      <w:r w:rsidR="001F7BDB">
        <w:t>.</w:t>
      </w:r>
      <w:r w:rsidR="00544FD8">
        <w:t xml:space="preserve"> </w:t>
      </w:r>
      <w:r w:rsidR="00C36439">
        <w:t>Almost a similar scenario can be seen for rural areas too</w:t>
      </w:r>
      <w:r w:rsidR="00AF7B1D">
        <w:t>. Table 7 elicits that rural areas in Satkhira district are characterized with comparably higher degree of rurality than that of Khulna and Ba</w:t>
      </w:r>
      <w:r w:rsidR="004E442F">
        <w:t xml:space="preserve">gerhat districts. </w:t>
      </w:r>
      <w:r w:rsidR="001B0FA0">
        <w:t xml:space="preserve">An interesting </w:t>
      </w:r>
      <w:r w:rsidR="009F6798">
        <w:t>point has been</w:t>
      </w:r>
      <w:r w:rsidR="00276A3D">
        <w:t xml:space="preserve"> identified that rural</w:t>
      </w:r>
      <w:r w:rsidR="009F6798">
        <w:t xml:space="preserve"> </w:t>
      </w:r>
    </w:p>
    <w:p w:rsidR="00B95AFF" w:rsidRDefault="001F7BDB" w:rsidP="001F7BDB">
      <w:pPr>
        <w:pStyle w:val="Heading4"/>
        <w:spacing w:line="240" w:lineRule="auto"/>
        <w:jc w:val="center"/>
        <w:rPr>
          <w:rFonts w:ascii="Times New Roman" w:hAnsi="Times New Roman" w:cs="Times New Roman"/>
          <w:i w:val="0"/>
          <w:color w:val="auto"/>
        </w:rPr>
      </w:pPr>
      <w:bookmarkStart w:id="11" w:name="_Table_7:_Rural-urban"/>
      <w:bookmarkEnd w:id="11"/>
      <w:r>
        <w:rPr>
          <w:rFonts w:ascii="Times New Roman" w:hAnsi="Times New Roman" w:cs="Times New Roman"/>
          <w:i w:val="0"/>
          <w:color w:val="auto"/>
        </w:rPr>
        <w:t>Table 7: Rural-urban disparity among the districts based on rurality index</w:t>
      </w:r>
    </w:p>
    <w:tbl>
      <w:tblPr>
        <w:tblStyle w:val="TableGrid"/>
        <w:tblW w:w="0" w:type="auto"/>
        <w:tblLook w:val="04A0" w:firstRow="1" w:lastRow="0" w:firstColumn="1" w:lastColumn="0" w:noHBand="0" w:noVBand="1"/>
      </w:tblPr>
      <w:tblGrid>
        <w:gridCol w:w="1165"/>
        <w:gridCol w:w="1620"/>
        <w:gridCol w:w="1440"/>
        <w:gridCol w:w="2160"/>
        <w:gridCol w:w="1770"/>
      </w:tblGrid>
      <w:tr w:rsidR="001F7BDB" w:rsidTr="004C3F13">
        <w:trPr>
          <w:trHeight w:val="874"/>
        </w:trPr>
        <w:tc>
          <w:tcPr>
            <w:tcW w:w="1165" w:type="dxa"/>
          </w:tcPr>
          <w:p w:rsidR="001F7BDB" w:rsidRPr="001F7BDB" w:rsidRDefault="001F7BDB" w:rsidP="001F7BDB">
            <w:pPr>
              <w:jc w:val="center"/>
              <w:rPr>
                <w:rFonts w:ascii="Times New Roman" w:hAnsi="Times New Roman" w:cs="Times New Roman"/>
              </w:rPr>
            </w:pPr>
            <w:r>
              <w:rPr>
                <w:rFonts w:ascii="Times New Roman" w:hAnsi="Times New Roman" w:cs="Times New Roman"/>
              </w:rPr>
              <w:t>District</w:t>
            </w:r>
          </w:p>
        </w:tc>
        <w:tc>
          <w:tcPr>
            <w:tcW w:w="1620" w:type="dxa"/>
          </w:tcPr>
          <w:p w:rsidR="001F7BDB" w:rsidRPr="001F7BDB" w:rsidRDefault="001F7BDB" w:rsidP="001F7BDB">
            <w:pPr>
              <w:jc w:val="center"/>
              <w:rPr>
                <w:rFonts w:ascii="Times New Roman" w:hAnsi="Times New Roman" w:cs="Times New Roman"/>
              </w:rPr>
            </w:pPr>
            <w:r>
              <w:rPr>
                <w:rFonts w:ascii="Times New Roman" w:hAnsi="Times New Roman" w:cs="Times New Roman"/>
              </w:rPr>
              <w:t xml:space="preserve">Average RI for </w:t>
            </w:r>
            <w:r w:rsidR="006C54E4">
              <w:rPr>
                <w:rFonts w:ascii="Times New Roman" w:hAnsi="Times New Roman" w:cs="Times New Roman"/>
              </w:rPr>
              <w:t>extremely non-rural areas</w:t>
            </w:r>
          </w:p>
        </w:tc>
        <w:tc>
          <w:tcPr>
            <w:tcW w:w="1440" w:type="dxa"/>
          </w:tcPr>
          <w:p w:rsidR="001F7BDB" w:rsidRPr="001F7BDB" w:rsidRDefault="006C54E4" w:rsidP="001F7BDB">
            <w:pPr>
              <w:jc w:val="center"/>
              <w:rPr>
                <w:rFonts w:ascii="Times New Roman" w:hAnsi="Times New Roman" w:cs="Times New Roman"/>
              </w:rPr>
            </w:pPr>
            <w:r>
              <w:rPr>
                <w:rFonts w:ascii="Times New Roman" w:hAnsi="Times New Roman" w:cs="Times New Roman"/>
              </w:rPr>
              <w:t>Average RI for extremely rural areas</w:t>
            </w:r>
          </w:p>
        </w:tc>
        <w:tc>
          <w:tcPr>
            <w:tcW w:w="2160" w:type="dxa"/>
          </w:tcPr>
          <w:p w:rsidR="001F7BDB" w:rsidRPr="001F7BDB" w:rsidRDefault="006C54E4" w:rsidP="001F7BDB">
            <w:pPr>
              <w:jc w:val="center"/>
              <w:rPr>
                <w:rFonts w:ascii="Times New Roman" w:hAnsi="Times New Roman" w:cs="Times New Roman"/>
              </w:rPr>
            </w:pPr>
            <w:r>
              <w:rPr>
                <w:rFonts w:ascii="Times New Roman" w:hAnsi="Times New Roman" w:cs="Times New Roman"/>
              </w:rPr>
              <w:t>Average RI for intermediate non-rural areas</w:t>
            </w:r>
          </w:p>
        </w:tc>
        <w:tc>
          <w:tcPr>
            <w:tcW w:w="1770" w:type="dxa"/>
          </w:tcPr>
          <w:p w:rsidR="001F7BDB" w:rsidRPr="001F7BDB" w:rsidRDefault="006C54E4" w:rsidP="001F7BDB">
            <w:pPr>
              <w:jc w:val="center"/>
              <w:rPr>
                <w:rFonts w:ascii="Times New Roman" w:hAnsi="Times New Roman" w:cs="Times New Roman"/>
              </w:rPr>
            </w:pPr>
            <w:r>
              <w:rPr>
                <w:rFonts w:ascii="Times New Roman" w:hAnsi="Times New Roman" w:cs="Times New Roman"/>
              </w:rPr>
              <w:t>Average RI for intermediate rural areas</w:t>
            </w:r>
          </w:p>
        </w:tc>
      </w:tr>
      <w:tr w:rsidR="001F7BDB" w:rsidTr="004C3F13">
        <w:trPr>
          <w:trHeight w:val="281"/>
        </w:trPr>
        <w:tc>
          <w:tcPr>
            <w:tcW w:w="1165" w:type="dxa"/>
          </w:tcPr>
          <w:p w:rsidR="001F7BDB" w:rsidRPr="001F7BDB" w:rsidRDefault="006C54E4" w:rsidP="001F7BDB">
            <w:pPr>
              <w:jc w:val="center"/>
              <w:rPr>
                <w:rFonts w:ascii="Times New Roman" w:hAnsi="Times New Roman" w:cs="Times New Roman"/>
              </w:rPr>
            </w:pPr>
            <w:r>
              <w:rPr>
                <w:rFonts w:ascii="Times New Roman" w:hAnsi="Times New Roman" w:cs="Times New Roman"/>
              </w:rPr>
              <w:t>Khulna</w:t>
            </w:r>
          </w:p>
        </w:tc>
        <w:tc>
          <w:tcPr>
            <w:tcW w:w="1620" w:type="dxa"/>
          </w:tcPr>
          <w:p w:rsidR="001F7BDB" w:rsidRPr="001F7BDB" w:rsidRDefault="00C4740B" w:rsidP="001F7BDB">
            <w:pPr>
              <w:jc w:val="center"/>
              <w:rPr>
                <w:rFonts w:ascii="Times New Roman" w:hAnsi="Times New Roman" w:cs="Times New Roman"/>
              </w:rPr>
            </w:pPr>
            <w:r>
              <w:rPr>
                <w:rFonts w:ascii="Times New Roman" w:hAnsi="Times New Roman" w:cs="Times New Roman"/>
              </w:rPr>
              <w:t>2.14</w:t>
            </w:r>
          </w:p>
        </w:tc>
        <w:tc>
          <w:tcPr>
            <w:tcW w:w="1440" w:type="dxa"/>
          </w:tcPr>
          <w:p w:rsidR="001F7BDB" w:rsidRPr="001F7BDB" w:rsidRDefault="00C4740B" w:rsidP="001F7BDB">
            <w:pPr>
              <w:jc w:val="center"/>
              <w:rPr>
                <w:rFonts w:ascii="Times New Roman" w:hAnsi="Times New Roman" w:cs="Times New Roman"/>
              </w:rPr>
            </w:pPr>
            <w:r>
              <w:rPr>
                <w:rFonts w:ascii="Times New Roman" w:hAnsi="Times New Roman" w:cs="Times New Roman"/>
              </w:rPr>
              <w:t>4.76</w:t>
            </w:r>
          </w:p>
        </w:tc>
        <w:tc>
          <w:tcPr>
            <w:tcW w:w="2160" w:type="dxa"/>
          </w:tcPr>
          <w:p w:rsidR="001F7BDB" w:rsidRPr="001F7BDB" w:rsidRDefault="00C4740B" w:rsidP="001F7BDB">
            <w:pPr>
              <w:jc w:val="center"/>
              <w:rPr>
                <w:rFonts w:ascii="Times New Roman" w:hAnsi="Times New Roman" w:cs="Times New Roman"/>
              </w:rPr>
            </w:pPr>
            <w:r>
              <w:rPr>
                <w:rFonts w:ascii="Times New Roman" w:hAnsi="Times New Roman" w:cs="Times New Roman"/>
              </w:rPr>
              <w:t>3.01</w:t>
            </w:r>
          </w:p>
        </w:tc>
        <w:tc>
          <w:tcPr>
            <w:tcW w:w="1770" w:type="dxa"/>
          </w:tcPr>
          <w:p w:rsidR="001F7BDB" w:rsidRPr="001F7BDB" w:rsidRDefault="00C4740B" w:rsidP="001F7BDB">
            <w:pPr>
              <w:jc w:val="center"/>
              <w:rPr>
                <w:rFonts w:ascii="Times New Roman" w:hAnsi="Times New Roman" w:cs="Times New Roman"/>
              </w:rPr>
            </w:pPr>
            <w:r>
              <w:rPr>
                <w:rFonts w:ascii="Times New Roman" w:hAnsi="Times New Roman" w:cs="Times New Roman"/>
              </w:rPr>
              <w:t>3.98</w:t>
            </w:r>
          </w:p>
        </w:tc>
      </w:tr>
      <w:tr w:rsidR="001F7BDB" w:rsidTr="004C3F13">
        <w:trPr>
          <w:trHeight w:val="281"/>
        </w:trPr>
        <w:tc>
          <w:tcPr>
            <w:tcW w:w="1165" w:type="dxa"/>
          </w:tcPr>
          <w:p w:rsidR="001F7BDB" w:rsidRPr="001F7BDB" w:rsidRDefault="006C54E4" w:rsidP="001F7BDB">
            <w:pPr>
              <w:jc w:val="center"/>
              <w:rPr>
                <w:rFonts w:ascii="Times New Roman" w:hAnsi="Times New Roman" w:cs="Times New Roman"/>
              </w:rPr>
            </w:pPr>
            <w:r>
              <w:rPr>
                <w:rFonts w:ascii="Times New Roman" w:hAnsi="Times New Roman" w:cs="Times New Roman"/>
              </w:rPr>
              <w:t>Bagerhat</w:t>
            </w:r>
          </w:p>
        </w:tc>
        <w:tc>
          <w:tcPr>
            <w:tcW w:w="1620" w:type="dxa"/>
          </w:tcPr>
          <w:p w:rsidR="001F7BDB" w:rsidRPr="001F7BDB" w:rsidRDefault="00C4740B" w:rsidP="001F7BDB">
            <w:pPr>
              <w:jc w:val="center"/>
              <w:rPr>
                <w:rFonts w:ascii="Times New Roman" w:hAnsi="Times New Roman" w:cs="Times New Roman"/>
              </w:rPr>
            </w:pPr>
            <w:r>
              <w:rPr>
                <w:rFonts w:ascii="Times New Roman" w:hAnsi="Times New Roman" w:cs="Times New Roman"/>
              </w:rPr>
              <w:t>2.22</w:t>
            </w:r>
          </w:p>
        </w:tc>
        <w:tc>
          <w:tcPr>
            <w:tcW w:w="1440" w:type="dxa"/>
          </w:tcPr>
          <w:p w:rsidR="001F7BDB" w:rsidRPr="001F7BDB" w:rsidRDefault="00C4740B" w:rsidP="001F7BDB">
            <w:pPr>
              <w:jc w:val="center"/>
              <w:rPr>
                <w:rFonts w:ascii="Times New Roman" w:hAnsi="Times New Roman" w:cs="Times New Roman"/>
              </w:rPr>
            </w:pPr>
            <w:r>
              <w:rPr>
                <w:rFonts w:ascii="Times New Roman" w:hAnsi="Times New Roman" w:cs="Times New Roman"/>
              </w:rPr>
              <w:t>4.69</w:t>
            </w:r>
          </w:p>
        </w:tc>
        <w:tc>
          <w:tcPr>
            <w:tcW w:w="2160" w:type="dxa"/>
          </w:tcPr>
          <w:p w:rsidR="001F7BDB" w:rsidRPr="001F7BDB" w:rsidRDefault="00C4740B" w:rsidP="001F7BDB">
            <w:pPr>
              <w:jc w:val="center"/>
              <w:rPr>
                <w:rFonts w:ascii="Times New Roman" w:hAnsi="Times New Roman" w:cs="Times New Roman"/>
              </w:rPr>
            </w:pPr>
            <w:r>
              <w:rPr>
                <w:rFonts w:ascii="Times New Roman" w:hAnsi="Times New Roman" w:cs="Times New Roman"/>
              </w:rPr>
              <w:t>3.31</w:t>
            </w:r>
          </w:p>
        </w:tc>
        <w:tc>
          <w:tcPr>
            <w:tcW w:w="1770" w:type="dxa"/>
          </w:tcPr>
          <w:p w:rsidR="001F7BDB" w:rsidRPr="001F7BDB" w:rsidRDefault="00C4740B" w:rsidP="001F7BDB">
            <w:pPr>
              <w:jc w:val="center"/>
              <w:rPr>
                <w:rFonts w:ascii="Times New Roman" w:hAnsi="Times New Roman" w:cs="Times New Roman"/>
              </w:rPr>
            </w:pPr>
            <w:r>
              <w:rPr>
                <w:rFonts w:ascii="Times New Roman" w:hAnsi="Times New Roman" w:cs="Times New Roman"/>
              </w:rPr>
              <w:t>3.92</w:t>
            </w:r>
          </w:p>
        </w:tc>
      </w:tr>
      <w:tr w:rsidR="001F7BDB" w:rsidTr="004C3F13">
        <w:trPr>
          <w:trHeight w:val="281"/>
        </w:trPr>
        <w:tc>
          <w:tcPr>
            <w:tcW w:w="1165" w:type="dxa"/>
          </w:tcPr>
          <w:p w:rsidR="001F7BDB" w:rsidRPr="001F7BDB" w:rsidRDefault="006C54E4" w:rsidP="001F7BDB">
            <w:pPr>
              <w:jc w:val="center"/>
              <w:rPr>
                <w:rFonts w:ascii="Times New Roman" w:hAnsi="Times New Roman" w:cs="Times New Roman"/>
              </w:rPr>
            </w:pPr>
            <w:r>
              <w:rPr>
                <w:rFonts w:ascii="Times New Roman" w:hAnsi="Times New Roman" w:cs="Times New Roman"/>
              </w:rPr>
              <w:t>Satkhira</w:t>
            </w:r>
          </w:p>
        </w:tc>
        <w:tc>
          <w:tcPr>
            <w:tcW w:w="1620" w:type="dxa"/>
          </w:tcPr>
          <w:p w:rsidR="001F7BDB" w:rsidRPr="001F7BDB" w:rsidRDefault="005E4680" w:rsidP="001F7BDB">
            <w:pPr>
              <w:jc w:val="center"/>
              <w:rPr>
                <w:rFonts w:ascii="Times New Roman" w:hAnsi="Times New Roman" w:cs="Times New Roman"/>
              </w:rPr>
            </w:pPr>
            <w:r>
              <w:rPr>
                <w:rFonts w:ascii="Times New Roman" w:hAnsi="Times New Roman" w:cs="Times New Roman"/>
              </w:rPr>
              <w:t>2.56</w:t>
            </w:r>
          </w:p>
        </w:tc>
        <w:tc>
          <w:tcPr>
            <w:tcW w:w="1440" w:type="dxa"/>
          </w:tcPr>
          <w:p w:rsidR="001F7BDB" w:rsidRPr="001F7BDB" w:rsidRDefault="005E4680" w:rsidP="001F7BDB">
            <w:pPr>
              <w:jc w:val="center"/>
              <w:rPr>
                <w:rFonts w:ascii="Times New Roman" w:hAnsi="Times New Roman" w:cs="Times New Roman"/>
              </w:rPr>
            </w:pPr>
            <w:r>
              <w:rPr>
                <w:rFonts w:ascii="Times New Roman" w:hAnsi="Times New Roman" w:cs="Times New Roman"/>
              </w:rPr>
              <w:t>4.73</w:t>
            </w:r>
          </w:p>
        </w:tc>
        <w:tc>
          <w:tcPr>
            <w:tcW w:w="2160" w:type="dxa"/>
          </w:tcPr>
          <w:p w:rsidR="001F7BDB" w:rsidRPr="001F7BDB" w:rsidRDefault="00EF7FF5" w:rsidP="001F7BDB">
            <w:pPr>
              <w:jc w:val="center"/>
              <w:rPr>
                <w:rFonts w:ascii="Times New Roman" w:hAnsi="Times New Roman" w:cs="Times New Roman"/>
              </w:rPr>
            </w:pPr>
            <w:r>
              <w:rPr>
                <w:rFonts w:ascii="Times New Roman" w:hAnsi="Times New Roman" w:cs="Times New Roman"/>
              </w:rPr>
              <w:t>3.42</w:t>
            </w:r>
          </w:p>
        </w:tc>
        <w:tc>
          <w:tcPr>
            <w:tcW w:w="1770" w:type="dxa"/>
          </w:tcPr>
          <w:p w:rsidR="001F7BDB" w:rsidRPr="001F7BDB" w:rsidRDefault="005B46D8" w:rsidP="001F7BDB">
            <w:pPr>
              <w:jc w:val="center"/>
              <w:rPr>
                <w:rFonts w:ascii="Times New Roman" w:hAnsi="Times New Roman" w:cs="Times New Roman"/>
              </w:rPr>
            </w:pPr>
            <w:r>
              <w:rPr>
                <w:rFonts w:ascii="Times New Roman" w:hAnsi="Times New Roman" w:cs="Times New Roman"/>
              </w:rPr>
              <w:t>4.07</w:t>
            </w:r>
          </w:p>
        </w:tc>
      </w:tr>
    </w:tbl>
    <w:p w:rsidR="001F7BDB" w:rsidRPr="00F8516C" w:rsidRDefault="00F8516C" w:rsidP="001F7BDB">
      <w:pPr>
        <w:jc w:val="center"/>
        <w:rPr>
          <w:sz w:val="20"/>
          <w:szCs w:val="20"/>
        </w:rPr>
      </w:pPr>
      <w:r>
        <w:rPr>
          <w:sz w:val="20"/>
          <w:szCs w:val="20"/>
        </w:rPr>
        <w:t>Source: Authors’ compilation from rurality index of this research</w:t>
      </w:r>
    </w:p>
    <w:p w:rsidR="00DD289B" w:rsidRDefault="00D72641" w:rsidP="00DD289B">
      <w:r>
        <w:lastRenderedPageBreak/>
        <w:t xml:space="preserve">areas of Bagerhat districts are featured with slightly lower rurality than the rural areas of Khulna district, although </w:t>
      </w:r>
      <w:r w:rsidR="00901584">
        <w:t>Khulna district has been characterized with lower level of rurality among the three case study ar</w:t>
      </w:r>
      <w:r w:rsidR="0081492D">
        <w:t>eas. Th</w:t>
      </w:r>
      <w:r w:rsidR="0075601D">
        <w:t xml:space="preserve">is issue has been shaped by </w:t>
      </w:r>
      <w:r w:rsidR="0081492D">
        <w:t>higher female literacy rate, female employment in service sector</w:t>
      </w:r>
      <w:r w:rsidR="0075601D">
        <w:t xml:space="preserve"> and better access to toilet facilities in rural settings of Bagerhat than that of Khulna and obviously Sa</w:t>
      </w:r>
      <w:r w:rsidR="00511464">
        <w:t xml:space="preserve">tkhira. </w:t>
      </w:r>
      <w:r w:rsidR="00A516EE">
        <w:t>Another point can be appr</w:t>
      </w:r>
      <w:r w:rsidR="000065E4">
        <w:t>oximated from the analysis that rural-urban disparity within Kh</w:t>
      </w:r>
      <w:r w:rsidR="00280978">
        <w:t>ulna district is significantly higher</w:t>
      </w:r>
      <w:r w:rsidR="00CC1C15">
        <w:t xml:space="preserve"> (see </w:t>
      </w:r>
      <w:hyperlink w:anchor="_Table_7:_Rural-urban" w:history="1">
        <w:r w:rsidR="00CC1C15" w:rsidRPr="00CC1C15">
          <w:rPr>
            <w:rStyle w:val="Hyperlink"/>
            <w:color w:val="auto"/>
            <w:u w:val="none"/>
          </w:rPr>
          <w:t>Table 7</w:t>
        </w:r>
      </w:hyperlink>
      <w:r w:rsidR="00CC1C15">
        <w:t>)</w:t>
      </w:r>
      <w:r w:rsidR="00280978">
        <w:t>. I</w:t>
      </w:r>
      <w:r w:rsidR="002A64A3">
        <w:t>t means that resource distribution, infrastructure development, employment opportunities, access to public utilities</w:t>
      </w:r>
      <w:r w:rsidR="001C1B8A">
        <w:t xml:space="preserve"> and amenities, gender equality, educational facilities etc. are more concentrated in urban areas comparing to rural areas which can lead</w:t>
      </w:r>
      <w:r w:rsidR="007F62E8">
        <w:t xml:space="preserve"> to </w:t>
      </w:r>
      <w:r w:rsidR="001C1B8A">
        <w:t>serious imbalance in development of the district.</w:t>
      </w:r>
    </w:p>
    <w:p w:rsidR="00DD289B" w:rsidRDefault="00F4729E" w:rsidP="00DD289B">
      <w:r>
        <w:t xml:space="preserve">However, an unexpected issue has raised in the case of Bagerhat district when </w:t>
      </w:r>
      <w:r w:rsidRPr="002B7548">
        <w:t>discrepancy</w:t>
      </w:r>
      <w:r>
        <w:t xml:space="preserve"> between statistical data provided by BBS for Sarankhola Range and actual spatiotemporal profile of the Union was identified.</w:t>
      </w:r>
      <w:r w:rsidR="00E60AA7">
        <w:t xml:space="preserve"> </w:t>
      </w:r>
      <w:r w:rsidR="00DD289B">
        <w:t>Sarankhola Range is mainly a forest land (covers a part of Sundarbans mangrove forest) under Bagerhat district. Actual socio-demographic profile of the area shows that only 23.37 people live in per square kilometer of the area and thus the total population of the area is supposed to be 8,729 who depends on the forest for their livelihood</w:t>
      </w:r>
      <w:r w:rsidR="00917075">
        <w:t xml:space="preserve"> </w:t>
      </w:r>
      <w:r w:rsidR="00931437">
        <w:t xml:space="preserve">(visit </w:t>
      </w:r>
      <w:hyperlink r:id="rId11" w:history="1">
        <w:r w:rsidR="00DD289B" w:rsidRPr="00683247">
          <w:rPr>
            <w:rStyle w:val="Hyperlink"/>
            <w:i/>
            <w:color w:val="auto"/>
            <w:u w:val="none"/>
          </w:rPr>
          <w:t>https://www.citypopulation.de/en/bangladesh/khulna/admin/01__bagerhat/</w:t>
        </w:r>
      </w:hyperlink>
      <w:r w:rsidR="00DD289B">
        <w:t>)</w:t>
      </w:r>
      <w:r w:rsidR="00931437">
        <w:t>.</w:t>
      </w:r>
      <w:r w:rsidR="0085721F">
        <w:t xml:space="preserve"> </w:t>
      </w:r>
      <w:r w:rsidR="00917075">
        <w:t>Beside</w:t>
      </w:r>
      <w:r w:rsidR="00DD289B">
        <w:t>, population size of the area is decreasing with a negative annual growth rate of 2.8%. But, the data we have attained from BBS shows quite opposite</w:t>
      </w:r>
      <w:r w:rsidR="00CE5145">
        <w:t xml:space="preserve"> scenario for the area where urban characteristics including employment in non-agricultural sectors for both of male and female; access to tube well water, employment and literacy rate for both </w:t>
      </w:r>
      <w:r w:rsidR="00CE5145">
        <w:lastRenderedPageBreak/>
        <w:t>of male and female; population density and housing structure have been overestimated and thus Sarankhola Range has been</w:t>
      </w:r>
      <w:r w:rsidR="00DD289B">
        <w:t xml:space="preserve"> </w:t>
      </w:r>
      <w:r w:rsidR="00CE5145">
        <w:t xml:space="preserve">characterized as an extremely non-rural area under Bagerhat district. </w:t>
      </w:r>
      <w:r w:rsidR="00DD289B">
        <w:t>Note that, this issue has nothing to do with our research methodology and we have nothing much to do as we have no control over the data source in this case.</w:t>
      </w:r>
    </w:p>
    <w:p w:rsidR="00F00BBA" w:rsidRDefault="00814B5F" w:rsidP="003A5A80">
      <w:r>
        <w:t>One obvious pattern can be educed from the study: spatial units with greater urban characteristics (i.e., non-rurality) are distributed along with major rivers and this geographical factor historically has been proved to host fundamental urbanization process (Phong, 2015).</w:t>
      </w:r>
      <w:r w:rsidR="003A5A80">
        <w:t xml:space="preserve"> For instance, </w:t>
      </w:r>
      <w:r w:rsidR="00BE7C1B">
        <w:t>Mongla Port Paurashava, Chalna Paurashava</w:t>
      </w:r>
      <w:r w:rsidR="003A5A80">
        <w:t xml:space="preserve"> are situated on the bank of Rupsa r</w:t>
      </w:r>
      <w:r w:rsidR="00BE7C1B">
        <w:t>iver, Bagerhat Paurashava</w:t>
      </w:r>
      <w:r w:rsidR="003A5A80">
        <w:t xml:space="preserve"> is along with Bhairab r</w:t>
      </w:r>
      <w:r w:rsidR="00BE7C1B">
        <w:t>iver</w:t>
      </w:r>
      <w:r w:rsidR="003A5A80">
        <w:t>. Khulna city has also grown alongside Rupsha river. All the major industrial, commercial and service sectors including Mongla sea port, Mongla EPZ (export processing zone), Mongla economic zone, cement factories, banks, power stations, industrial complexes etc. in Bagerhat districts has flourished on the bank of Mongla and Rupsha rivers. Emergence of Khulna Shipyard, steel industries, rubber factories, cement factories, sea food industries, jute mills etc. on the bank of Rupsha river in Khulna district has triggered reindustrialization in the area.</w:t>
      </w:r>
      <w:r w:rsidR="00513676">
        <w:t xml:space="preserve"> </w:t>
      </w:r>
      <w:r w:rsidR="000C6695">
        <w:t>And, this infrastructural concentration alongside the major rivers creates vast employment opportunities in industrial, commercial and service sectors and turns into major attraction zone for mass people, investors, private companies and as well as the government authorities. Population density of such zones increases rapidly and further socio-economic infrastructure development continues. Thus, these spatiotemporal changes transform an agriculture dependent socio-economy into non-agriculture based socio-economy</w:t>
      </w:r>
      <w:r w:rsidR="00B76DE1">
        <w:t xml:space="preserve">. </w:t>
      </w:r>
      <w:r w:rsidR="00A967F0">
        <w:lastRenderedPageBreak/>
        <w:t>Th</w:t>
      </w:r>
      <w:r w:rsidR="00BE6EE9">
        <w:t xml:space="preserve">is is </w:t>
      </w:r>
      <w:r w:rsidR="002126BF">
        <w:t xml:space="preserve">why </w:t>
      </w:r>
      <w:r w:rsidR="00C83F3D">
        <w:t>urban characteristics including</w:t>
      </w:r>
      <w:r w:rsidR="00CC0BD1">
        <w:t xml:space="preserve"> </w:t>
      </w:r>
      <w:r w:rsidR="00CB15BC">
        <w:t xml:space="preserve">major </w:t>
      </w:r>
      <w:r w:rsidR="000A43FD">
        <w:t>e</w:t>
      </w:r>
      <w:r w:rsidR="00574E52">
        <w:t xml:space="preserve">mployment in industrial and service sectors, higher literacy rate, </w:t>
      </w:r>
      <w:r w:rsidR="004121B9">
        <w:t>higher population density, higher employment rate, access to tube well water, huge population size, and significantly female empowerment</w:t>
      </w:r>
      <w:r w:rsidR="00BE6EE9">
        <w:t xml:space="preserve"> are highly functional in the non-rural areas of the investigated districts</w:t>
      </w:r>
      <w:r w:rsidR="000C3D18">
        <w:t>.</w:t>
      </w:r>
      <w:r w:rsidR="001F502D">
        <w:t xml:space="preserve"> On</w:t>
      </w:r>
      <w:r w:rsidR="00692EDB">
        <w:t xml:space="preserve"> the contrary, </w:t>
      </w:r>
      <w:r w:rsidR="001F502D">
        <w:t xml:space="preserve">higher functionality of rural characteristics including agriculture-centric employment, limited access to sanitary toilet facilities, weaker housing structure, limited access to tube well </w:t>
      </w:r>
      <w:r w:rsidR="004C089B">
        <w:t xml:space="preserve">as </w:t>
      </w:r>
      <w:r w:rsidR="001F502D">
        <w:t>water</w:t>
      </w:r>
      <w:r w:rsidR="004C089B">
        <w:t xml:space="preserve"> source, greater percentage of </w:t>
      </w:r>
      <w:r w:rsidR="001F502D">
        <w:t xml:space="preserve">disable and dependent population, </w:t>
      </w:r>
      <w:r w:rsidR="00F44D5B">
        <w:t>low</w:t>
      </w:r>
      <w:r w:rsidR="00253156">
        <w:t>er</w:t>
      </w:r>
      <w:r w:rsidR="00692EDB">
        <w:t xml:space="preserve"> population density etc. is prominent in extremely rural areas within the study area.</w:t>
      </w:r>
      <w:r w:rsidR="00A01E5A">
        <w:t xml:space="preserve"> Intermediate rural and intermediate non-rural areas of the study area can be considered as the transitional state</w:t>
      </w:r>
      <w:r w:rsidR="008C5A53">
        <w:t xml:space="preserve"> of rural-urban continuum where functional characteristics</w:t>
      </w:r>
      <w:r w:rsidR="000D071A">
        <w:t xml:space="preserve"> of rurality are being replaced by the functional characteristics of urbanity and thus the areas are transforming in</w:t>
      </w:r>
      <w:r w:rsidR="00EE3F23">
        <w:t>to urban areas from rural ones.</w:t>
      </w:r>
    </w:p>
    <w:p w:rsidR="00F00BBA" w:rsidRDefault="00F00BBA" w:rsidP="00F00BBA">
      <w:r>
        <w:t xml:space="preserve">Scholarly literature has given paramount importance on </w:t>
      </w:r>
      <w:r w:rsidRPr="00847D5B">
        <w:t>sophisticated</w:t>
      </w:r>
      <w:r>
        <w:t xml:space="preserve"> analysis of rurality with a view to have highly reliable and accurate findings from a study (</w:t>
      </w:r>
      <w:r w:rsidRPr="005B05CA">
        <w:rPr>
          <w:rFonts w:cs="Times New Roman"/>
          <w:bCs/>
          <w:spacing w:val="-5"/>
          <w:szCs w:val="24"/>
          <w:shd w:val="clear" w:color="auto" w:fill="FFFFFF"/>
        </w:rPr>
        <w:t>Ocaña-Riola</w:t>
      </w:r>
      <w:r w:rsidRPr="005B05CA">
        <w:rPr>
          <w:rFonts w:cs="Times New Roman"/>
          <w:szCs w:val="24"/>
        </w:rPr>
        <w:t xml:space="preserve"> and </w:t>
      </w:r>
      <w:r w:rsidRPr="005B05CA">
        <w:rPr>
          <w:rFonts w:cs="Times New Roman"/>
          <w:bCs/>
          <w:spacing w:val="-5"/>
          <w:szCs w:val="24"/>
          <w:shd w:val="clear" w:color="auto" w:fill="FFFFFF"/>
        </w:rPr>
        <w:t>Sánchez-Cantalejo</w:t>
      </w:r>
      <w:r>
        <w:rPr>
          <w:rFonts w:cs="Times New Roman"/>
          <w:bCs/>
          <w:spacing w:val="-5"/>
          <w:szCs w:val="24"/>
          <w:shd w:val="clear" w:color="auto" w:fill="FFFFFF"/>
        </w:rPr>
        <w:t>, 2005</w:t>
      </w:r>
      <w:r>
        <w:t>). Selection of appropriate indicators that can represent rural functionality within a socio-spatial setting is very important in this case. However, methods for studying a multidimensional and complex pheno</w:t>
      </w:r>
      <w:r w:rsidR="00181BA2">
        <w:t xml:space="preserve">menon like rurality </w:t>
      </w:r>
      <w:r>
        <w:t xml:space="preserve">must be based on strong theoretical framework which can elucidate the underlying patterns of the phenomenon within a specific context. The variables we have adopted in this study for characterizing </w:t>
      </w:r>
      <w:r w:rsidR="00010FD5">
        <w:t xml:space="preserve">rural areas within the south-western region of Bangladesh </w:t>
      </w:r>
      <w:r>
        <w:t xml:space="preserve">have been selected based on expert views and extensive literature review. Yet, it is not necessarily true that all of them are appropriate and can </w:t>
      </w:r>
      <w:r w:rsidR="00226CE0">
        <w:lastRenderedPageBreak/>
        <w:t>e</w:t>
      </w:r>
      <w:r w:rsidR="00993F1B">
        <w:t>ffectively elicit the degree of rurality functional in the areas</w:t>
      </w:r>
      <w:r w:rsidR="00874BE1">
        <w:t xml:space="preserve">. </w:t>
      </w:r>
      <w:r>
        <w:t>The rurality index d</w:t>
      </w:r>
      <w:r w:rsidR="00C35372">
        <w:t xml:space="preserve">evised in this research </w:t>
      </w:r>
      <w:r w:rsidR="00381744">
        <w:t xml:space="preserve">for distinguishing rural areas </w:t>
      </w:r>
      <w:r>
        <w:t>can be considered as an approximation to the operational measure of rurality in Khulna division.</w:t>
      </w:r>
    </w:p>
    <w:p w:rsidR="00233685" w:rsidRDefault="008F60EA" w:rsidP="008F60EA">
      <w:pPr>
        <w:pStyle w:val="Heading1"/>
        <w:rPr>
          <w:rFonts w:ascii="Times New Roman" w:hAnsi="Times New Roman" w:cs="Times New Roman"/>
          <w:b/>
          <w:color w:val="auto"/>
          <w:sz w:val="24"/>
          <w:szCs w:val="24"/>
        </w:rPr>
      </w:pPr>
      <w:r>
        <w:rPr>
          <w:rFonts w:ascii="Times New Roman" w:hAnsi="Times New Roman" w:cs="Times New Roman"/>
          <w:b/>
          <w:color w:val="auto"/>
          <w:sz w:val="24"/>
          <w:szCs w:val="24"/>
        </w:rPr>
        <w:t>6. Conclusion</w:t>
      </w:r>
    </w:p>
    <w:p w:rsidR="008F60EA" w:rsidRDefault="008F60EA" w:rsidP="008F60EA">
      <w:r>
        <w:t>This study has characterized ru</w:t>
      </w:r>
      <w:r w:rsidR="00AE4870">
        <w:t>ral areas in three districts (e.g., Khulna, Satkhira and Bagerhat) of south-western region in Bangladesh adopting a rurality indexing approach</w:t>
      </w:r>
      <w:r>
        <w:t xml:space="preserve"> based on population and census data derived from Bangladesh Bureau of Statistics. The results demonstrate the degree of rurality in the investigated districts at Union level through a quartile classification method with</w:t>
      </w:r>
      <w:r w:rsidR="00CC0834">
        <w:t>in a rural-urban continuum model</w:t>
      </w:r>
      <w:r>
        <w:t>. Within this model, Unions distributed at lower extreme (i.e., lower rurality index) have been denoted as extremely</w:t>
      </w:r>
      <w:r w:rsidR="002E0AC5">
        <w:t xml:space="preserve"> non-</w:t>
      </w:r>
      <w:r>
        <w:t>rural whereas Unions distributed at upper extreme (i.e., higher rurality index) have b</w:t>
      </w:r>
      <w:r w:rsidR="002E0AC5">
        <w:t>een identified as extremely rural</w:t>
      </w:r>
      <w:r>
        <w:t>. And, Unions falling into the middle range have been distinguished as intermediate rural and intermediate non-rural based on their respective index score.</w:t>
      </w:r>
    </w:p>
    <w:p w:rsidR="004359EA" w:rsidRDefault="008F60EA" w:rsidP="008F60EA">
      <w:r>
        <w:t>T</w:t>
      </w:r>
      <w:r w:rsidR="008C2A39">
        <w:t>he findings elicit that Satkhira</w:t>
      </w:r>
      <w:r>
        <w:t xml:space="preserve"> district has h</w:t>
      </w:r>
      <w:r w:rsidR="008C2A39">
        <w:t>igher relative rurality (RI=4.23) than that of Khulna (RI=3.58</w:t>
      </w:r>
      <w:r>
        <w:t xml:space="preserve">) </w:t>
      </w:r>
      <w:r w:rsidR="008C2A39">
        <w:t>and Bagerhat (RI=4.14</w:t>
      </w:r>
      <w:r>
        <w:t>)</w:t>
      </w:r>
      <w:r w:rsidR="00E14557">
        <w:t xml:space="preserve">. </w:t>
      </w:r>
      <w:r w:rsidR="00D827FF">
        <w:t xml:space="preserve">However, the rurality profiles of Satkhira and Bagerhat districts slightly differ. </w:t>
      </w:r>
      <w:r w:rsidR="00E4004F">
        <w:t xml:space="preserve">Rurality index reveals that rural-urban disparity </w:t>
      </w:r>
      <w:r w:rsidR="00B2778C">
        <w:t>among the case study areas has shaped their relative rurality profiles differently</w:t>
      </w:r>
      <w:r w:rsidR="008E66A6">
        <w:t>. An interesting point has been brought to light that rural-urban di</w:t>
      </w:r>
      <w:r w:rsidR="006C6035">
        <w:t>sparity within Khulna district is significantly higher</w:t>
      </w:r>
      <w:r>
        <w:t>. Addi</w:t>
      </w:r>
      <w:r w:rsidR="003E63C8">
        <w:t>tionally, it has been observed</w:t>
      </w:r>
      <w:r>
        <w:t xml:space="preserve"> that area</w:t>
      </w:r>
      <w:r w:rsidR="00866938">
        <w:t>s characterized by higher e</w:t>
      </w:r>
      <w:r w:rsidR="00550C0B">
        <w:t>xtent of non-rurality</w:t>
      </w:r>
      <w:r>
        <w:t xml:space="preserve"> are spatially distributed alongside the maj</w:t>
      </w:r>
      <w:r w:rsidR="00344CF6">
        <w:t>or rivers including Rupsha, Mongla</w:t>
      </w:r>
      <w:r>
        <w:t>, Bhairab river</w:t>
      </w:r>
      <w:r w:rsidR="00344CF6">
        <w:t>s</w:t>
      </w:r>
      <w:r w:rsidR="00550C0B">
        <w:t xml:space="preserve"> which indicates towards a likely relatio</w:t>
      </w:r>
      <w:r w:rsidR="001C7AE3">
        <w:t xml:space="preserve">nship of rurality and </w:t>
      </w:r>
      <w:r w:rsidR="00C90395">
        <w:t xml:space="preserve">geographical features </w:t>
      </w:r>
      <w:r w:rsidR="00A17CDA">
        <w:t>of a particular space</w:t>
      </w:r>
      <w:r w:rsidR="001C7AE3">
        <w:t>.</w:t>
      </w:r>
    </w:p>
    <w:p w:rsidR="001C7AE3" w:rsidRDefault="008F60EA" w:rsidP="008F60EA">
      <w:r>
        <w:lastRenderedPageBreak/>
        <w:t>The outcomes of this research can contribute substantial kn</w:t>
      </w:r>
      <w:r w:rsidR="0019648F">
        <w:t xml:space="preserve">owledge of rurality </w:t>
      </w:r>
      <w:r>
        <w:t>by elucidating the degree of rurality experienced in each of the Unions explored wi</w:t>
      </w:r>
      <w:r w:rsidR="00E80909">
        <w:t>thin the region</w:t>
      </w:r>
      <w:r>
        <w:t xml:space="preserve"> of Bangladesh. The findings educed from this study can be useful for policy makers, local government authorities and other concerned groups to have approximate scenarios of relative rurality within the three investigated districts as Khulna, Satkhira, and Bagerhat and in formulation of rural development policies and strategies</w:t>
      </w:r>
      <w:r w:rsidRPr="00C87E6C">
        <w:t xml:space="preserve"> </w:t>
      </w:r>
      <w:r>
        <w:t>or priority setting for resource distribution targeting the aforementioned</w:t>
      </w:r>
      <w:r w:rsidR="00D23570">
        <w:t xml:space="preserve"> areas. </w:t>
      </w:r>
      <w:r>
        <w:t>Besides, the methods of the study can be utilized in similar socio-economic and geographic contexts. Furthermore, this study on charac</w:t>
      </w:r>
      <w:r w:rsidR="00D23570">
        <w:t xml:space="preserve">terizing rural areas </w:t>
      </w:r>
      <w:r w:rsidR="008B0378">
        <w:t>suggests for further in-depth research on ru</w:t>
      </w:r>
      <w:r w:rsidR="008B60AF">
        <w:t>rality and rural-urban disparity</w:t>
      </w:r>
      <w:r w:rsidR="008B0378">
        <w:t xml:space="preserve"> </w:t>
      </w:r>
      <w:r w:rsidR="0023355E">
        <w:t xml:space="preserve">within the south-western region of Bangladesh, </w:t>
      </w:r>
      <w:r w:rsidR="008B0378">
        <w:t>collaborating qualitative judgements</w:t>
      </w:r>
      <w:r w:rsidR="008B60AF">
        <w:t xml:space="preserve"> and more critical dimensions such </w:t>
      </w:r>
      <w:r w:rsidR="00E060C3">
        <w:t xml:space="preserve">as </w:t>
      </w:r>
      <w:r w:rsidR="008B60AF">
        <w:t xml:space="preserve">spatiality, political perspective, cultural formation etc. </w:t>
      </w:r>
      <w:r>
        <w:t xml:space="preserve">Additionally, importance should be given to evolve </w:t>
      </w:r>
      <w:r w:rsidR="002501C9">
        <w:t xml:space="preserve">more </w:t>
      </w:r>
      <w:r>
        <w:t>objective methods for selection of appropriate indicators to char</w:t>
      </w:r>
      <w:r w:rsidR="00E060C3">
        <w:t>acterize rural or urban areas</w:t>
      </w:r>
      <w:r>
        <w:t xml:space="preserve"> in different context considering growing socio-spatial complexity and environmental uncertainty. To conclude, a similar scientific </w:t>
      </w:r>
      <w:r w:rsidR="00F47A67">
        <w:t xml:space="preserve">approach is recommended to study rurality and for distinguishing geographical settings </w:t>
      </w:r>
      <w:r>
        <w:t>elsewhere within a rural-urban continuum framework and multidimensional perspective.</w:t>
      </w:r>
    </w:p>
    <w:p w:rsidR="008F7D40" w:rsidRDefault="008F7D40" w:rsidP="008F7D40">
      <w:pPr>
        <w:pStyle w:val="Heading1"/>
        <w:spacing w:line="240" w:lineRule="auto"/>
        <w:rPr>
          <w:rFonts w:ascii="Times New Roman" w:hAnsi="Times New Roman" w:cs="Times New Roman"/>
          <w:b/>
          <w:color w:val="auto"/>
          <w:sz w:val="24"/>
          <w:szCs w:val="24"/>
        </w:rPr>
      </w:pPr>
      <w:r>
        <w:rPr>
          <w:rFonts w:ascii="Times New Roman" w:hAnsi="Times New Roman" w:cs="Times New Roman"/>
          <w:b/>
          <w:color w:val="auto"/>
          <w:sz w:val="24"/>
          <w:szCs w:val="24"/>
        </w:rPr>
        <w:t>References</w:t>
      </w:r>
    </w:p>
    <w:p w:rsidR="008F7D40" w:rsidRPr="008F7D40" w:rsidRDefault="008F7D40" w:rsidP="008F7D40">
      <w:pPr>
        <w:spacing w:line="240" w:lineRule="auto"/>
        <w:rPr>
          <w:rStyle w:val="Hyperlink"/>
          <w:rFonts w:cs="Times New Roman"/>
          <w:color w:val="auto"/>
          <w:spacing w:val="-5"/>
          <w:szCs w:val="24"/>
          <w:u w:val="none"/>
          <w:shd w:val="clear" w:color="auto" w:fill="FFFFFF"/>
        </w:rPr>
      </w:pPr>
      <w:r w:rsidRPr="008F7D40">
        <w:rPr>
          <w:rFonts w:cs="Times New Roman"/>
          <w:spacing w:val="-5"/>
          <w:szCs w:val="24"/>
          <w:shd w:val="clear" w:color="auto" w:fill="FFFFFF"/>
        </w:rPr>
        <w:t xml:space="preserve">Agarwal, S, Rahman, S. &amp; Errington, E. (2009). Measuring the determinants of relative economics performance of rural areas. </w:t>
      </w:r>
      <w:r w:rsidRPr="008F7D40">
        <w:rPr>
          <w:rFonts w:cs="Times New Roman"/>
          <w:i/>
          <w:spacing w:val="-5"/>
          <w:szCs w:val="24"/>
          <w:shd w:val="clear" w:color="auto" w:fill="FFFFFF"/>
        </w:rPr>
        <w:t>Journal of Rural Studies, 25</w:t>
      </w:r>
      <w:r w:rsidRPr="008F7D40">
        <w:rPr>
          <w:rFonts w:cs="Times New Roman"/>
          <w:spacing w:val="-5"/>
          <w:szCs w:val="24"/>
          <w:shd w:val="clear" w:color="auto" w:fill="FFFFFF"/>
        </w:rPr>
        <w:t xml:space="preserve">(3), 309-321. doi: </w:t>
      </w:r>
      <w:hyperlink r:id="rId12" w:history="1">
        <w:r w:rsidRPr="008F7D40">
          <w:rPr>
            <w:rStyle w:val="Hyperlink"/>
            <w:rFonts w:cs="Times New Roman"/>
            <w:color w:val="auto"/>
            <w:spacing w:val="-5"/>
            <w:szCs w:val="24"/>
            <w:u w:val="none"/>
            <w:shd w:val="clear" w:color="auto" w:fill="FFFFFF"/>
          </w:rPr>
          <w:t>https://doi.org/10.1016/j.jrurstud.2009.02.003</w:t>
        </w:r>
      </w:hyperlink>
    </w:p>
    <w:p w:rsidR="008F7D40" w:rsidRPr="008F7D40" w:rsidRDefault="008F7D40" w:rsidP="008F7D40">
      <w:pPr>
        <w:spacing w:line="240" w:lineRule="auto"/>
        <w:rPr>
          <w:rFonts w:cs="Times New Roman"/>
          <w:spacing w:val="-5"/>
          <w:szCs w:val="24"/>
          <w:shd w:val="clear" w:color="auto" w:fill="FFFFFF"/>
        </w:rPr>
      </w:pPr>
      <w:r w:rsidRPr="008F7D40">
        <w:rPr>
          <w:rStyle w:val="Hyperlink"/>
          <w:rFonts w:cs="Times New Roman"/>
          <w:color w:val="auto"/>
          <w:spacing w:val="-5"/>
          <w:szCs w:val="24"/>
          <w:u w:val="none"/>
          <w:shd w:val="clear" w:color="auto" w:fill="FFFFFF"/>
        </w:rPr>
        <w:t xml:space="preserve">Antwi-Agyei, P., Dougill, A.J., Fraser, E.D.G. &amp; Stringer, L.C. (2012). Characterizing the nature of household vulnerability to climate variability: empirical evidence from two regions of Ghana. </w:t>
      </w:r>
      <w:r w:rsidRPr="008F7D40">
        <w:rPr>
          <w:rStyle w:val="Hyperlink"/>
          <w:rFonts w:cs="Times New Roman"/>
          <w:i/>
          <w:color w:val="auto"/>
          <w:spacing w:val="-5"/>
          <w:szCs w:val="24"/>
          <w:u w:val="none"/>
          <w:shd w:val="clear" w:color="auto" w:fill="FFFFFF"/>
        </w:rPr>
        <w:t>Environment, Development and Sustainability, 15,</w:t>
      </w:r>
      <w:r w:rsidRPr="008F7D40">
        <w:rPr>
          <w:rStyle w:val="Hyperlink"/>
          <w:rFonts w:cs="Times New Roman"/>
          <w:color w:val="auto"/>
          <w:spacing w:val="-5"/>
          <w:szCs w:val="24"/>
          <w:u w:val="none"/>
          <w:shd w:val="clear" w:color="auto" w:fill="FFFFFF"/>
        </w:rPr>
        <w:t xml:space="preserve"> 903-926. doi: </w:t>
      </w:r>
      <w:hyperlink r:id="rId13" w:history="1">
        <w:r w:rsidRPr="008F7D40">
          <w:rPr>
            <w:rStyle w:val="Hyperlink"/>
            <w:rFonts w:cs="Times New Roman"/>
            <w:color w:val="auto"/>
            <w:szCs w:val="24"/>
            <w:u w:val="none"/>
          </w:rPr>
          <w:t>https://doi.org/10.1007/s10668-012-9418-9</w:t>
        </w:r>
      </w:hyperlink>
    </w:p>
    <w:p w:rsidR="008F7D40" w:rsidRPr="008F7D40" w:rsidRDefault="008F7D40" w:rsidP="008F7D40">
      <w:pPr>
        <w:spacing w:line="240" w:lineRule="auto"/>
        <w:rPr>
          <w:rStyle w:val="Hyperlink"/>
          <w:rFonts w:cs="Times New Roman"/>
          <w:color w:val="auto"/>
          <w:spacing w:val="-5"/>
          <w:szCs w:val="24"/>
          <w:u w:val="none"/>
          <w:shd w:val="clear" w:color="auto" w:fill="FFFFFF"/>
        </w:rPr>
      </w:pPr>
      <w:r w:rsidRPr="008F7D40">
        <w:rPr>
          <w:rFonts w:cs="Times New Roman"/>
          <w:spacing w:val="-5"/>
          <w:szCs w:val="24"/>
          <w:shd w:val="clear" w:color="auto" w:fill="FFFFFF"/>
        </w:rPr>
        <w:lastRenderedPageBreak/>
        <w:t xml:space="preserve">Argent, N. (2008). Perceived density, social interaction and morale in New South Wales rural communities. </w:t>
      </w:r>
      <w:r w:rsidRPr="008F7D40">
        <w:rPr>
          <w:rFonts w:cs="Times New Roman"/>
          <w:i/>
          <w:spacing w:val="-5"/>
          <w:szCs w:val="24"/>
          <w:shd w:val="clear" w:color="auto" w:fill="FFFFFF"/>
        </w:rPr>
        <w:t>Journal of Rural Studies, 24</w:t>
      </w:r>
      <w:r w:rsidRPr="008F7D40">
        <w:rPr>
          <w:rFonts w:cs="Times New Roman"/>
          <w:spacing w:val="-5"/>
          <w:szCs w:val="24"/>
          <w:shd w:val="clear" w:color="auto" w:fill="FFFFFF"/>
        </w:rPr>
        <w:t xml:space="preserve">(3), 245-261. Retrieved February 7, 2021 from </w:t>
      </w:r>
      <w:hyperlink r:id="rId14" w:history="1">
        <w:r w:rsidRPr="008F7D40">
          <w:rPr>
            <w:rStyle w:val="Hyperlink"/>
            <w:rFonts w:cs="Times New Roman"/>
            <w:color w:val="auto"/>
            <w:spacing w:val="-5"/>
            <w:szCs w:val="24"/>
            <w:u w:val="none"/>
            <w:shd w:val="clear" w:color="auto" w:fill="FFFFFF"/>
          </w:rPr>
          <w:t>https://www.sciencedirect.com/science/article/pii/S0743016707000630</w:t>
        </w:r>
      </w:hyperlink>
    </w:p>
    <w:p w:rsidR="008F7D40" w:rsidRPr="008F7D40" w:rsidRDefault="008F7D40" w:rsidP="008F7D40">
      <w:pPr>
        <w:spacing w:line="240" w:lineRule="auto"/>
        <w:rPr>
          <w:rStyle w:val="Hyperlink"/>
          <w:rFonts w:cs="Times New Roman"/>
          <w:color w:val="auto"/>
          <w:szCs w:val="24"/>
          <w:u w:val="none"/>
          <w:shd w:val="clear" w:color="auto" w:fill="FFFFFF"/>
        </w:rPr>
      </w:pPr>
      <w:r w:rsidRPr="008F7D40">
        <w:rPr>
          <w:rStyle w:val="Hyperlink"/>
          <w:rFonts w:cs="Times New Roman"/>
          <w:color w:val="auto"/>
          <w:spacing w:val="-5"/>
          <w:szCs w:val="24"/>
          <w:u w:val="none"/>
          <w:shd w:val="clear" w:color="auto" w:fill="FFFFFF"/>
        </w:rPr>
        <w:t xml:space="preserve">Asmamaw, M., Mereta, S.T. &amp; Ambelu, A. (2019). Exploring households’ resilience to climate change-induced shocks using Climate Resilience Index in Dinki watershed, central highlands of Ethiopia. </w:t>
      </w:r>
      <w:r w:rsidRPr="008F7D40">
        <w:rPr>
          <w:rStyle w:val="Hyperlink"/>
          <w:rFonts w:cs="Times New Roman"/>
          <w:i/>
          <w:color w:val="auto"/>
          <w:spacing w:val="-5"/>
          <w:szCs w:val="24"/>
          <w:u w:val="none"/>
          <w:shd w:val="clear" w:color="auto" w:fill="FFFFFF"/>
        </w:rPr>
        <w:t>PLOS ONE, 14</w:t>
      </w:r>
      <w:r w:rsidRPr="008F7D40">
        <w:rPr>
          <w:rStyle w:val="Hyperlink"/>
          <w:rFonts w:cs="Times New Roman"/>
          <w:color w:val="auto"/>
          <w:spacing w:val="-5"/>
          <w:szCs w:val="24"/>
          <w:u w:val="none"/>
          <w:shd w:val="clear" w:color="auto" w:fill="FFFFFF"/>
        </w:rPr>
        <w:t xml:space="preserve">(7), e0219393. doi: </w:t>
      </w:r>
      <w:r w:rsidRPr="008F7D40">
        <w:rPr>
          <w:rFonts w:cs="Times New Roman"/>
          <w:szCs w:val="24"/>
          <w:shd w:val="clear" w:color="auto" w:fill="FFFFFF"/>
        </w:rPr>
        <w:t>https://doi.org/10.1371/journal.pone.0219393</w:t>
      </w:r>
      <w:r w:rsidRPr="008F7D40">
        <w:rPr>
          <w:rStyle w:val="Hyperlink"/>
          <w:rFonts w:cs="Times New Roman"/>
          <w:color w:val="auto"/>
          <w:spacing w:val="-5"/>
          <w:szCs w:val="24"/>
          <w:u w:val="none"/>
          <w:shd w:val="clear" w:color="auto" w:fill="FFFFFF"/>
        </w:rPr>
        <w:t xml:space="preserve"> </w:t>
      </w:r>
    </w:p>
    <w:p w:rsidR="008F7D40" w:rsidRPr="008F7D40" w:rsidRDefault="008F7D40" w:rsidP="008F7D40">
      <w:pPr>
        <w:spacing w:line="240" w:lineRule="auto"/>
        <w:rPr>
          <w:rFonts w:cs="Times New Roman"/>
          <w:spacing w:val="-5"/>
          <w:szCs w:val="24"/>
          <w:shd w:val="clear" w:color="auto" w:fill="FFFFFF"/>
        </w:rPr>
      </w:pPr>
      <w:r w:rsidRPr="008F7D40">
        <w:rPr>
          <w:rFonts w:cs="Times New Roman"/>
          <w:spacing w:val="-5"/>
          <w:szCs w:val="24"/>
          <w:shd w:val="clear" w:color="auto" w:fill="FFFFFF"/>
        </w:rPr>
        <w:t xml:space="preserve">Bannister, D. (1980). </w:t>
      </w:r>
      <w:r w:rsidRPr="008F7D40">
        <w:rPr>
          <w:rFonts w:cs="Times New Roman"/>
          <w:i/>
          <w:spacing w:val="-5"/>
          <w:szCs w:val="24"/>
          <w:shd w:val="clear" w:color="auto" w:fill="FFFFFF"/>
        </w:rPr>
        <w:t>Transport mobility and deprivation in inter-urban areas</w:t>
      </w:r>
      <w:r w:rsidRPr="008F7D40">
        <w:rPr>
          <w:rFonts w:cs="Times New Roman"/>
          <w:spacing w:val="-5"/>
          <w:szCs w:val="24"/>
          <w:shd w:val="clear" w:color="auto" w:fill="FFFFFF"/>
        </w:rPr>
        <w:t>. Faenborough, Hants: Teakfield.</w:t>
      </w:r>
      <w:r w:rsidRPr="008F7D40">
        <w:rPr>
          <w:rFonts w:cs="Times New Roman"/>
          <w:i/>
          <w:spacing w:val="-5"/>
          <w:szCs w:val="24"/>
          <w:shd w:val="clear" w:color="auto" w:fill="FFFFFF"/>
        </w:rPr>
        <w:t xml:space="preserve"> </w:t>
      </w:r>
      <w:r w:rsidRPr="008F7D40">
        <w:rPr>
          <w:rFonts w:cs="Times New Roman"/>
          <w:spacing w:val="-5"/>
          <w:szCs w:val="24"/>
          <w:shd w:val="clear" w:color="auto" w:fill="FFFFFF"/>
        </w:rPr>
        <w:t xml:space="preserve">  </w:t>
      </w:r>
    </w:p>
    <w:p w:rsidR="008F7D40" w:rsidRPr="008F7D40" w:rsidRDefault="008F7D40" w:rsidP="008F7D40">
      <w:pPr>
        <w:spacing w:line="240" w:lineRule="auto"/>
        <w:rPr>
          <w:rFonts w:cs="Times New Roman"/>
          <w:spacing w:val="-5"/>
          <w:szCs w:val="24"/>
          <w:shd w:val="clear" w:color="auto" w:fill="FFFFFF"/>
        </w:rPr>
      </w:pPr>
      <w:r w:rsidRPr="008F7D40">
        <w:rPr>
          <w:rFonts w:cs="Times New Roman"/>
          <w:spacing w:val="-5"/>
          <w:szCs w:val="24"/>
          <w:shd w:val="clear" w:color="auto" w:fill="FFFFFF"/>
        </w:rPr>
        <w:t xml:space="preserve">Beaujen, J. &amp; Chabot, G. (1963). </w:t>
      </w:r>
      <w:r w:rsidRPr="008F7D40">
        <w:rPr>
          <w:rFonts w:cs="Times New Roman"/>
          <w:i/>
          <w:spacing w:val="-5"/>
          <w:szCs w:val="24"/>
          <w:shd w:val="clear" w:color="auto" w:fill="FFFFFF"/>
        </w:rPr>
        <w:t>Traité de Géographic Urbaine</w:t>
      </w:r>
      <w:r w:rsidRPr="008F7D40">
        <w:rPr>
          <w:rFonts w:cs="Times New Roman"/>
          <w:spacing w:val="-5"/>
          <w:szCs w:val="24"/>
          <w:shd w:val="clear" w:color="auto" w:fill="FFFFFF"/>
        </w:rPr>
        <w:t>. Colin, Paris.</w:t>
      </w:r>
    </w:p>
    <w:p w:rsidR="008F7D40" w:rsidRPr="008F7D40" w:rsidRDefault="008F7D40" w:rsidP="008F7D40">
      <w:pPr>
        <w:spacing w:line="240" w:lineRule="auto"/>
        <w:rPr>
          <w:rFonts w:cs="Times New Roman"/>
          <w:spacing w:val="-5"/>
          <w:szCs w:val="24"/>
          <w:shd w:val="clear" w:color="auto" w:fill="FFFFFF"/>
        </w:rPr>
      </w:pPr>
      <w:r w:rsidRPr="008F7D40">
        <w:rPr>
          <w:rFonts w:cs="Times New Roman"/>
          <w:spacing w:val="-5"/>
          <w:szCs w:val="24"/>
          <w:shd w:val="clear" w:color="auto" w:fill="FFFFFF"/>
        </w:rPr>
        <w:t xml:space="preserve">Bender, L.D., Green, B.L., &amp; Hadey, T.F. (1985). </w:t>
      </w:r>
      <w:r w:rsidRPr="008F7D40">
        <w:rPr>
          <w:rFonts w:cs="Times New Roman"/>
          <w:i/>
          <w:spacing w:val="-5"/>
          <w:szCs w:val="24"/>
          <w:shd w:val="clear" w:color="auto" w:fill="FFFFFF"/>
        </w:rPr>
        <w:t xml:space="preserve">The Diverse Social and Economic Structure of Nonmetropolitan America. </w:t>
      </w:r>
      <w:r w:rsidRPr="008F7D40">
        <w:rPr>
          <w:rFonts w:cs="Times New Roman"/>
          <w:spacing w:val="-5"/>
          <w:szCs w:val="24"/>
          <w:shd w:val="clear" w:color="auto" w:fill="FFFFFF"/>
        </w:rPr>
        <w:t>US Government Printing Office, Washington.</w:t>
      </w:r>
    </w:p>
    <w:p w:rsidR="008F7D40" w:rsidRPr="008F7D40" w:rsidRDefault="008F7D40" w:rsidP="008F7D40">
      <w:pPr>
        <w:spacing w:line="240" w:lineRule="auto"/>
        <w:rPr>
          <w:rFonts w:cs="Times New Roman"/>
          <w:spacing w:val="-5"/>
          <w:szCs w:val="24"/>
          <w:shd w:val="clear" w:color="auto" w:fill="FFFFFF"/>
        </w:rPr>
      </w:pPr>
      <w:r w:rsidRPr="008F7D40">
        <w:rPr>
          <w:rFonts w:cs="Times New Roman"/>
          <w:spacing w:val="-5"/>
          <w:szCs w:val="24"/>
          <w:shd w:val="clear" w:color="auto" w:fill="FFFFFF"/>
        </w:rPr>
        <w:t xml:space="preserve">Best, R. (1981). </w:t>
      </w:r>
      <w:r w:rsidRPr="008F7D40">
        <w:rPr>
          <w:rFonts w:cs="Times New Roman"/>
          <w:i/>
          <w:spacing w:val="-5"/>
          <w:szCs w:val="24"/>
          <w:shd w:val="clear" w:color="auto" w:fill="FFFFFF"/>
        </w:rPr>
        <w:t>Land use and living space.</w:t>
      </w:r>
      <w:r w:rsidRPr="008F7D40">
        <w:rPr>
          <w:rFonts w:cs="Times New Roman"/>
          <w:spacing w:val="-5"/>
          <w:szCs w:val="24"/>
          <w:shd w:val="clear" w:color="auto" w:fill="FFFFFF"/>
        </w:rPr>
        <w:t xml:space="preserve"> London: Methuen.  </w:t>
      </w:r>
    </w:p>
    <w:p w:rsidR="008F7D40" w:rsidRPr="008F7D40" w:rsidRDefault="008F7D40" w:rsidP="008F7D40">
      <w:pPr>
        <w:spacing w:line="240" w:lineRule="auto"/>
        <w:rPr>
          <w:rFonts w:cs="Times New Roman"/>
          <w:spacing w:val="-5"/>
          <w:szCs w:val="24"/>
          <w:shd w:val="clear" w:color="auto" w:fill="FFFFFF"/>
        </w:rPr>
      </w:pPr>
      <w:r w:rsidRPr="008F7D40">
        <w:rPr>
          <w:rFonts w:cs="Times New Roman"/>
          <w:spacing w:val="-5"/>
          <w:szCs w:val="24"/>
          <w:shd w:val="clear" w:color="auto" w:fill="FFFFFF"/>
        </w:rPr>
        <w:t xml:space="preserve">Beynon, M.J., Crawley, A. and Munday, M.C.R. (2016). Measuring and understanding the differences between urban and rural areas. </w:t>
      </w:r>
      <w:r w:rsidRPr="008F7D40">
        <w:rPr>
          <w:rFonts w:cs="Times New Roman"/>
          <w:i/>
          <w:spacing w:val="-5"/>
          <w:szCs w:val="24"/>
          <w:shd w:val="clear" w:color="auto" w:fill="FFFFFF"/>
        </w:rPr>
        <w:t>Environment and Planning B: Planning and Design, 43</w:t>
      </w:r>
      <w:r w:rsidRPr="008F7D40">
        <w:rPr>
          <w:rFonts w:cs="Times New Roman"/>
          <w:spacing w:val="-5"/>
          <w:szCs w:val="24"/>
          <w:shd w:val="clear" w:color="auto" w:fill="FFFFFF"/>
        </w:rPr>
        <w:t xml:space="preserve">(6), 1136-1154. doi: </w:t>
      </w:r>
      <w:hyperlink r:id="rId15" w:history="1">
        <w:r w:rsidRPr="008F7D40">
          <w:rPr>
            <w:rStyle w:val="Hyperlink"/>
            <w:rFonts w:cs="Times New Roman"/>
            <w:color w:val="auto"/>
            <w:szCs w:val="24"/>
            <w:u w:val="none"/>
            <w:shd w:val="clear" w:color="auto" w:fill="FFFFFF"/>
          </w:rPr>
          <w:t>10.1177/0265813515605096</w:t>
        </w:r>
      </w:hyperlink>
    </w:p>
    <w:p w:rsidR="008F7D40" w:rsidRPr="008F7D40" w:rsidRDefault="008F7D40" w:rsidP="008F7D40">
      <w:pPr>
        <w:spacing w:line="240" w:lineRule="auto"/>
        <w:rPr>
          <w:rStyle w:val="Hyperlink"/>
          <w:rFonts w:cs="Times New Roman"/>
          <w:color w:val="auto"/>
          <w:szCs w:val="24"/>
          <w:u w:val="none"/>
          <w:shd w:val="clear" w:color="auto" w:fill="FFFFFF"/>
        </w:rPr>
      </w:pPr>
      <w:r w:rsidRPr="008F7D40">
        <w:rPr>
          <w:rFonts w:cs="Times New Roman"/>
          <w:spacing w:val="-5"/>
          <w:szCs w:val="24"/>
          <w:shd w:val="clear" w:color="auto" w:fill="FFFFFF"/>
        </w:rPr>
        <w:t xml:space="preserve">Blunden, J.R., Pryce, W.T.R., &amp; Dreyer, P. (1998). The classification of rural areas in the European context: an exploration of a typology using neural network applications. </w:t>
      </w:r>
      <w:r w:rsidRPr="008F7D40">
        <w:rPr>
          <w:rFonts w:cs="Times New Roman"/>
          <w:i/>
          <w:spacing w:val="-5"/>
          <w:szCs w:val="24"/>
          <w:shd w:val="clear" w:color="auto" w:fill="FFFFFF"/>
        </w:rPr>
        <w:t>Regional Studies, 32</w:t>
      </w:r>
      <w:r w:rsidRPr="008F7D40">
        <w:rPr>
          <w:rFonts w:cs="Times New Roman"/>
          <w:spacing w:val="-5"/>
          <w:szCs w:val="24"/>
          <w:shd w:val="clear" w:color="auto" w:fill="FFFFFF"/>
        </w:rPr>
        <w:t xml:space="preserve">(2), 149-160. doi: </w:t>
      </w:r>
      <w:hyperlink r:id="rId16" w:history="1">
        <w:r w:rsidRPr="008F7D40">
          <w:rPr>
            <w:rStyle w:val="Hyperlink"/>
            <w:rFonts w:cs="Times New Roman"/>
            <w:color w:val="auto"/>
            <w:szCs w:val="24"/>
            <w:u w:val="none"/>
            <w:shd w:val="clear" w:color="auto" w:fill="FFFFFF"/>
          </w:rPr>
          <w:t>10.1080/00343409850123035</w:t>
        </w:r>
      </w:hyperlink>
    </w:p>
    <w:p w:rsidR="008F7D40" w:rsidRPr="008F7D40" w:rsidRDefault="008F7D40" w:rsidP="008F7D40">
      <w:pPr>
        <w:spacing w:before="100" w:beforeAutospacing="1" w:after="100" w:afterAutospacing="1" w:line="240" w:lineRule="auto"/>
        <w:rPr>
          <w:rFonts w:cs="Times New Roman"/>
          <w:szCs w:val="24"/>
        </w:rPr>
      </w:pPr>
      <w:r w:rsidRPr="008F7D40">
        <w:rPr>
          <w:rStyle w:val="Hyperlink"/>
          <w:rFonts w:cs="Times New Roman"/>
          <w:color w:val="auto"/>
          <w:szCs w:val="24"/>
          <w:u w:val="none"/>
          <w:shd w:val="clear" w:color="auto" w:fill="FFFFFF"/>
        </w:rPr>
        <w:t xml:space="preserve">Casey, M.M., Thiede call K. &amp; Klinger, J.M. (2001). Are rural residents less likely to obtain recommended preventive healthcare services? </w:t>
      </w:r>
      <w:r w:rsidRPr="008F7D40">
        <w:rPr>
          <w:rStyle w:val="Hyperlink"/>
          <w:rFonts w:cs="Times New Roman"/>
          <w:i/>
          <w:color w:val="auto"/>
          <w:szCs w:val="24"/>
          <w:u w:val="none"/>
          <w:shd w:val="clear" w:color="auto" w:fill="FFFFFF"/>
        </w:rPr>
        <w:t>American Journal of Preventive Medicine, 21</w:t>
      </w:r>
      <w:r w:rsidRPr="008F7D40">
        <w:rPr>
          <w:rStyle w:val="Hyperlink"/>
          <w:rFonts w:cs="Times New Roman"/>
          <w:color w:val="auto"/>
          <w:szCs w:val="24"/>
          <w:u w:val="none"/>
          <w:shd w:val="clear" w:color="auto" w:fill="FFFFFF"/>
        </w:rPr>
        <w:t xml:space="preserve">(3), 182-188. doi: </w:t>
      </w:r>
      <w:hyperlink r:id="rId17" w:tgtFrame="_blank" w:history="1">
        <w:r w:rsidRPr="008F7D40">
          <w:rPr>
            <w:rStyle w:val="Hyperlink"/>
            <w:rFonts w:cs="Times New Roman"/>
            <w:color w:val="auto"/>
            <w:szCs w:val="24"/>
            <w:u w:val="none"/>
          </w:rPr>
          <w:t>10.1016/s0749-3797(01)00349-x</w:t>
        </w:r>
      </w:hyperlink>
    </w:p>
    <w:p w:rsidR="008F7D40" w:rsidRPr="008F7D40" w:rsidRDefault="008F7D40" w:rsidP="008F7D40">
      <w:pPr>
        <w:spacing w:line="240" w:lineRule="auto"/>
        <w:rPr>
          <w:rFonts w:cs="Times New Roman"/>
          <w:szCs w:val="24"/>
        </w:rPr>
      </w:pPr>
      <w:r w:rsidRPr="008F7D40">
        <w:rPr>
          <w:rFonts w:cs="Times New Roman"/>
          <w:szCs w:val="24"/>
        </w:rPr>
        <w:t xml:space="preserve">Champion, A.G. &amp; Watkins, C. (1991). </w:t>
      </w:r>
      <w:r w:rsidRPr="008F7D40">
        <w:rPr>
          <w:rFonts w:cs="Times New Roman"/>
          <w:i/>
          <w:szCs w:val="24"/>
        </w:rPr>
        <w:t>People in the countryside: studies of social change in rural Britain.</w:t>
      </w:r>
      <w:r w:rsidRPr="008F7D40">
        <w:rPr>
          <w:rFonts w:cs="Times New Roman"/>
          <w:szCs w:val="24"/>
        </w:rPr>
        <w:t xml:space="preserve"> London: Paul Chapman.</w:t>
      </w:r>
    </w:p>
    <w:p w:rsidR="008F7D40" w:rsidRPr="008F7D40" w:rsidRDefault="008F7D40" w:rsidP="008F7D40">
      <w:pPr>
        <w:spacing w:line="240" w:lineRule="auto"/>
        <w:rPr>
          <w:rFonts w:cs="Times New Roman"/>
          <w:szCs w:val="24"/>
        </w:rPr>
      </w:pPr>
      <w:r w:rsidRPr="008F7D40">
        <w:rPr>
          <w:rFonts w:cs="Times New Roman"/>
          <w:szCs w:val="24"/>
        </w:rPr>
        <w:t xml:space="preserve">Clevland, C. (1995). Measures of Rurality. </w:t>
      </w:r>
      <w:r w:rsidRPr="008F7D40">
        <w:rPr>
          <w:rFonts w:cs="Times New Roman"/>
          <w:i/>
          <w:szCs w:val="24"/>
        </w:rPr>
        <w:t xml:space="preserve">The University of Tennessee Institute of Agriculture, Agricultural Experiment Station, Bulletin, </w:t>
      </w:r>
      <w:r w:rsidRPr="008F7D40">
        <w:rPr>
          <w:rFonts w:cs="Times New Roman"/>
          <w:szCs w:val="24"/>
        </w:rPr>
        <w:t>689, 5-8.</w:t>
      </w:r>
    </w:p>
    <w:p w:rsidR="008F7D40" w:rsidRPr="008F7D40" w:rsidRDefault="008F7D40" w:rsidP="008F7D40">
      <w:pPr>
        <w:spacing w:line="240" w:lineRule="auto"/>
        <w:rPr>
          <w:rFonts w:cs="Times New Roman"/>
          <w:szCs w:val="24"/>
          <w:shd w:val="clear" w:color="auto" w:fill="FFFFFF"/>
        </w:rPr>
      </w:pPr>
      <w:r w:rsidRPr="008F7D40">
        <w:rPr>
          <w:rFonts w:cs="Times New Roman"/>
          <w:szCs w:val="24"/>
        </w:rPr>
        <w:t xml:space="preserve">Cloke, P.J. (1977). An index of rurality for England and Wales. </w:t>
      </w:r>
      <w:r w:rsidRPr="008F7D40">
        <w:rPr>
          <w:rFonts w:cs="Times New Roman"/>
          <w:i/>
          <w:szCs w:val="24"/>
        </w:rPr>
        <w:t>Regional Studies, 11</w:t>
      </w:r>
      <w:r w:rsidRPr="008F7D40">
        <w:rPr>
          <w:rFonts w:cs="Times New Roman"/>
          <w:szCs w:val="24"/>
        </w:rPr>
        <w:t xml:space="preserve">(1), 31-46. doi: </w:t>
      </w:r>
      <w:hyperlink r:id="rId18" w:history="1">
        <w:r w:rsidRPr="008F7D40">
          <w:rPr>
            <w:rStyle w:val="Hyperlink"/>
            <w:rFonts w:cs="Times New Roman"/>
            <w:color w:val="auto"/>
            <w:szCs w:val="24"/>
            <w:u w:val="none"/>
            <w:shd w:val="clear" w:color="auto" w:fill="FFFFFF"/>
          </w:rPr>
          <w:t>10.1080/09595237700185041</w:t>
        </w:r>
      </w:hyperlink>
    </w:p>
    <w:p w:rsidR="008F7D40" w:rsidRPr="008F7D40" w:rsidRDefault="008F7D40" w:rsidP="008F7D40">
      <w:pPr>
        <w:spacing w:line="240" w:lineRule="auto"/>
        <w:rPr>
          <w:rStyle w:val="Hyperlink"/>
          <w:rFonts w:cs="Times New Roman"/>
          <w:color w:val="auto"/>
          <w:szCs w:val="24"/>
          <w:u w:val="none"/>
          <w:shd w:val="clear" w:color="auto" w:fill="FFFFFF"/>
        </w:rPr>
      </w:pPr>
      <w:r w:rsidRPr="008F7D40">
        <w:rPr>
          <w:rFonts w:cs="Times New Roman"/>
          <w:szCs w:val="24"/>
        </w:rPr>
        <w:t xml:space="preserve">Cloke, P.J &amp; Edwards, G. (1986). Rurality in England and Wales 1981: A replication of the 1977 index. </w:t>
      </w:r>
      <w:r w:rsidRPr="008F7D40">
        <w:rPr>
          <w:rFonts w:cs="Times New Roman"/>
          <w:i/>
          <w:szCs w:val="24"/>
        </w:rPr>
        <w:t>Regional Studies, 20</w:t>
      </w:r>
      <w:r w:rsidRPr="008F7D40">
        <w:rPr>
          <w:rFonts w:cs="Times New Roman"/>
          <w:szCs w:val="24"/>
        </w:rPr>
        <w:t xml:space="preserve">(4), 289-306. doi: </w:t>
      </w:r>
      <w:hyperlink r:id="rId19" w:history="1">
        <w:r w:rsidRPr="008F7D40">
          <w:rPr>
            <w:rStyle w:val="Hyperlink"/>
            <w:rFonts w:cs="Times New Roman"/>
            <w:color w:val="auto"/>
            <w:szCs w:val="24"/>
            <w:u w:val="none"/>
            <w:shd w:val="clear" w:color="auto" w:fill="FFFFFF"/>
          </w:rPr>
          <w:t>10.1080/09595238600185271</w:t>
        </w:r>
      </w:hyperlink>
    </w:p>
    <w:p w:rsidR="008F7D40" w:rsidRPr="008F7D40" w:rsidRDefault="008F7D40" w:rsidP="008F7D40">
      <w:pPr>
        <w:spacing w:line="240" w:lineRule="auto"/>
        <w:rPr>
          <w:rFonts w:cs="Times New Roman"/>
          <w:szCs w:val="24"/>
        </w:rPr>
      </w:pPr>
      <w:r w:rsidRPr="008F7D40">
        <w:rPr>
          <w:rStyle w:val="Hyperlink"/>
          <w:rFonts w:cs="Times New Roman"/>
          <w:color w:val="auto"/>
          <w:szCs w:val="24"/>
          <w:u w:val="none"/>
          <w:shd w:val="clear" w:color="auto" w:fill="FFFFFF"/>
        </w:rPr>
        <w:t xml:space="preserve">Coombes, M. &amp; Raybould, S. (2001). Public policy and population distribution: developing appropriate indicators of settlement patterns. </w:t>
      </w:r>
      <w:r w:rsidRPr="008F7D40">
        <w:rPr>
          <w:rStyle w:val="Hyperlink"/>
          <w:rFonts w:cs="Times New Roman"/>
          <w:i/>
          <w:color w:val="auto"/>
          <w:szCs w:val="24"/>
          <w:u w:val="none"/>
          <w:shd w:val="clear" w:color="auto" w:fill="FFFFFF"/>
        </w:rPr>
        <w:t>Environment and Planning C: Government and Policy, 19</w:t>
      </w:r>
      <w:r w:rsidRPr="008F7D40">
        <w:rPr>
          <w:rStyle w:val="Hyperlink"/>
          <w:rFonts w:cs="Times New Roman"/>
          <w:color w:val="auto"/>
          <w:szCs w:val="24"/>
          <w:u w:val="none"/>
          <w:shd w:val="clear" w:color="auto" w:fill="FFFFFF"/>
        </w:rPr>
        <w:t xml:space="preserve">(2), 223-248. doi: </w:t>
      </w:r>
      <w:hyperlink r:id="rId20" w:history="1">
        <w:r w:rsidRPr="008F7D40">
          <w:rPr>
            <w:rStyle w:val="Hyperlink"/>
            <w:rFonts w:cs="Times New Roman"/>
            <w:color w:val="auto"/>
            <w:szCs w:val="24"/>
            <w:u w:val="none"/>
            <w:shd w:val="clear" w:color="auto" w:fill="FFFFFF"/>
          </w:rPr>
          <w:t>10.1068/c9826</w:t>
        </w:r>
      </w:hyperlink>
      <w:r w:rsidRPr="008F7D40">
        <w:rPr>
          <w:rStyle w:val="Hyperlink"/>
          <w:rFonts w:cs="Times New Roman"/>
          <w:i/>
          <w:color w:val="auto"/>
          <w:szCs w:val="24"/>
          <w:u w:val="none"/>
          <w:shd w:val="clear" w:color="auto" w:fill="FFFFFF"/>
        </w:rPr>
        <w:t xml:space="preserve"> </w:t>
      </w:r>
      <w:r w:rsidRPr="008F7D40">
        <w:rPr>
          <w:rFonts w:cs="Times New Roman"/>
          <w:szCs w:val="24"/>
        </w:rPr>
        <w:t xml:space="preserve"> </w:t>
      </w:r>
    </w:p>
    <w:p w:rsidR="008F7D40" w:rsidRPr="008F7D40" w:rsidRDefault="008F7D40" w:rsidP="008F7D40">
      <w:pPr>
        <w:spacing w:line="240" w:lineRule="auto"/>
        <w:rPr>
          <w:rFonts w:cs="Times New Roman"/>
          <w:szCs w:val="24"/>
        </w:rPr>
      </w:pPr>
      <w:r w:rsidRPr="008F7D40">
        <w:rPr>
          <w:rFonts w:cs="Times New Roman"/>
          <w:szCs w:val="24"/>
        </w:rPr>
        <w:t xml:space="preserve">Department of the Environment, Ministry of Agriculture, Fisheries and Food. (1995). </w:t>
      </w:r>
      <w:r w:rsidRPr="008F7D40">
        <w:rPr>
          <w:rFonts w:cs="Times New Roman"/>
          <w:i/>
          <w:szCs w:val="24"/>
        </w:rPr>
        <w:t>Rural England: a nation committed to a living countryside</w:t>
      </w:r>
      <w:r w:rsidRPr="008F7D40">
        <w:rPr>
          <w:rFonts w:cs="Times New Roman"/>
          <w:szCs w:val="24"/>
        </w:rPr>
        <w:t>. London: HMSO.</w:t>
      </w:r>
    </w:p>
    <w:p w:rsidR="008F7D40" w:rsidRPr="008F7D40" w:rsidRDefault="008F7D40" w:rsidP="008F7D40">
      <w:pPr>
        <w:spacing w:line="240" w:lineRule="auto"/>
        <w:rPr>
          <w:rFonts w:cs="Times New Roman"/>
          <w:szCs w:val="24"/>
        </w:rPr>
      </w:pPr>
      <w:r w:rsidRPr="008F7D40">
        <w:rPr>
          <w:rFonts w:cs="Times New Roman"/>
          <w:szCs w:val="24"/>
        </w:rPr>
        <w:lastRenderedPageBreak/>
        <w:t xml:space="preserve">Department of the Environment. (1971). </w:t>
      </w:r>
      <w:r w:rsidRPr="008F7D40">
        <w:rPr>
          <w:rFonts w:cs="Times New Roman"/>
          <w:i/>
          <w:szCs w:val="24"/>
        </w:rPr>
        <w:t>The Nature of rural areas of England and Wales.</w:t>
      </w:r>
      <w:r w:rsidRPr="008F7D40">
        <w:rPr>
          <w:rFonts w:cs="Times New Roman"/>
          <w:szCs w:val="24"/>
        </w:rPr>
        <w:t xml:space="preserve"> DoE internal working paper.</w:t>
      </w:r>
    </w:p>
    <w:p w:rsidR="008F7D40" w:rsidRPr="008F7D40" w:rsidRDefault="008F7D40" w:rsidP="008F7D40">
      <w:pPr>
        <w:spacing w:line="240" w:lineRule="auto"/>
        <w:rPr>
          <w:rFonts w:cs="Times New Roman"/>
          <w:spacing w:val="-5"/>
          <w:szCs w:val="24"/>
          <w:shd w:val="clear" w:color="auto" w:fill="FFFFFF"/>
        </w:rPr>
      </w:pPr>
      <w:r w:rsidRPr="008F7D40">
        <w:rPr>
          <w:rFonts w:cs="Times New Roman"/>
          <w:szCs w:val="24"/>
        </w:rPr>
        <w:t xml:space="preserve">Department of the Environment. (1972). </w:t>
      </w:r>
      <w:r w:rsidRPr="008F7D40">
        <w:rPr>
          <w:rFonts w:cs="Times New Roman"/>
          <w:i/>
          <w:szCs w:val="24"/>
        </w:rPr>
        <w:t>The Nature of rural areas of England and Wales.</w:t>
      </w:r>
      <w:r w:rsidRPr="008F7D40">
        <w:rPr>
          <w:rFonts w:cs="Times New Roman"/>
          <w:szCs w:val="24"/>
        </w:rPr>
        <w:t xml:space="preserve"> DoE internal working paper.</w:t>
      </w:r>
      <w:r w:rsidRPr="008F7D40">
        <w:rPr>
          <w:rFonts w:cs="Times New Roman"/>
          <w:i/>
          <w:szCs w:val="24"/>
        </w:rPr>
        <w:t xml:space="preserve"> </w:t>
      </w:r>
      <w:r w:rsidRPr="008F7D40">
        <w:rPr>
          <w:rFonts w:cs="Times New Roman"/>
          <w:spacing w:val="-5"/>
          <w:szCs w:val="24"/>
          <w:shd w:val="clear" w:color="auto" w:fill="FFFFFF"/>
        </w:rPr>
        <w:t xml:space="preserve">  </w:t>
      </w:r>
      <w:r w:rsidRPr="008F7D40">
        <w:rPr>
          <w:rFonts w:cs="Times New Roman"/>
          <w:i/>
          <w:szCs w:val="24"/>
        </w:rPr>
        <w:t xml:space="preserve"> </w:t>
      </w:r>
      <w:r w:rsidRPr="008F7D40">
        <w:rPr>
          <w:rFonts w:cs="Times New Roman"/>
          <w:spacing w:val="-5"/>
          <w:szCs w:val="24"/>
          <w:shd w:val="clear" w:color="auto" w:fill="FFFFFF"/>
        </w:rPr>
        <w:t xml:space="preserve">  </w:t>
      </w:r>
    </w:p>
    <w:p w:rsidR="008F7D40" w:rsidRPr="008F7D40" w:rsidRDefault="008F7D40" w:rsidP="008F7D40">
      <w:pPr>
        <w:spacing w:line="240" w:lineRule="auto"/>
        <w:rPr>
          <w:rStyle w:val="Hyperlink"/>
          <w:rFonts w:cs="Times New Roman"/>
          <w:color w:val="auto"/>
          <w:spacing w:val="-5"/>
          <w:szCs w:val="24"/>
          <w:u w:val="none"/>
          <w:shd w:val="clear" w:color="auto" w:fill="FFFFFF"/>
        </w:rPr>
      </w:pPr>
      <w:r w:rsidRPr="008F7D40">
        <w:rPr>
          <w:rStyle w:val="Hyperlink"/>
          <w:rFonts w:cs="Times New Roman"/>
          <w:color w:val="auto"/>
          <w:spacing w:val="-5"/>
          <w:szCs w:val="24"/>
          <w:u w:val="none"/>
          <w:shd w:val="clear" w:color="auto" w:fill="FFFFFF"/>
        </w:rPr>
        <w:t xml:space="preserve">DETER. (2002). </w:t>
      </w:r>
      <w:r w:rsidRPr="008F7D40">
        <w:rPr>
          <w:rStyle w:val="Hyperlink"/>
          <w:rFonts w:cs="Times New Roman"/>
          <w:i/>
          <w:color w:val="auto"/>
          <w:spacing w:val="-5"/>
          <w:szCs w:val="24"/>
          <w:u w:val="none"/>
          <w:shd w:val="clear" w:color="auto" w:fill="FFFFFF"/>
        </w:rPr>
        <w:t>A Review of Urban and Rural Area Definitions</w:t>
      </w:r>
      <w:r w:rsidRPr="008F7D40">
        <w:rPr>
          <w:rStyle w:val="Hyperlink"/>
          <w:rFonts w:cs="Times New Roman"/>
          <w:color w:val="auto"/>
          <w:spacing w:val="-5"/>
          <w:szCs w:val="24"/>
          <w:u w:val="none"/>
          <w:shd w:val="clear" w:color="auto" w:fill="FFFFFF"/>
        </w:rPr>
        <w:t>. Deter, London.</w:t>
      </w:r>
    </w:p>
    <w:p w:rsidR="008F7D40" w:rsidRPr="008F7D40" w:rsidRDefault="008F7D40" w:rsidP="008F7D40">
      <w:pPr>
        <w:spacing w:line="240" w:lineRule="auto"/>
        <w:rPr>
          <w:rFonts w:cs="Times New Roman"/>
          <w:spacing w:val="-5"/>
          <w:szCs w:val="24"/>
          <w:shd w:val="clear" w:color="auto" w:fill="FFFFFF"/>
        </w:rPr>
      </w:pPr>
      <w:r w:rsidRPr="008F7D40">
        <w:rPr>
          <w:rStyle w:val="Hyperlink"/>
          <w:rFonts w:cs="Times New Roman"/>
          <w:color w:val="auto"/>
          <w:spacing w:val="-5"/>
          <w:szCs w:val="24"/>
          <w:u w:val="none"/>
          <w:shd w:val="clear" w:color="auto" w:fill="FFFFFF"/>
        </w:rPr>
        <w:t>Entrena-Dur</w:t>
      </w:r>
      <w:r w:rsidRPr="008F7D40">
        <w:rPr>
          <w:rFonts w:cs="Times New Roman"/>
          <w:spacing w:val="-5"/>
          <w:szCs w:val="24"/>
          <w:shd w:val="clear" w:color="auto" w:fill="FFFFFF"/>
        </w:rPr>
        <w:t xml:space="preserve">án, F. (1998). </w:t>
      </w:r>
      <w:r w:rsidRPr="008F7D40">
        <w:rPr>
          <w:rFonts w:cs="Times New Roman"/>
          <w:i/>
          <w:spacing w:val="-5"/>
          <w:szCs w:val="24"/>
          <w:shd w:val="clear" w:color="auto" w:fill="FFFFFF"/>
        </w:rPr>
        <w:t>Cambios en la construcción social de lo rural</w:t>
      </w:r>
      <w:r w:rsidRPr="008F7D40">
        <w:rPr>
          <w:rFonts w:cs="Times New Roman"/>
          <w:spacing w:val="-5"/>
          <w:szCs w:val="24"/>
          <w:shd w:val="clear" w:color="auto" w:fill="FFFFFF"/>
        </w:rPr>
        <w:t>. Tecnos, Madrid</w:t>
      </w:r>
    </w:p>
    <w:p w:rsidR="008F7D40" w:rsidRPr="008F7D40" w:rsidRDefault="008F7D40" w:rsidP="008F7D40">
      <w:pPr>
        <w:spacing w:line="240" w:lineRule="auto"/>
        <w:rPr>
          <w:rFonts w:cs="Times New Roman"/>
          <w:spacing w:val="-5"/>
          <w:szCs w:val="24"/>
          <w:shd w:val="clear" w:color="auto" w:fill="FFFFFF"/>
        </w:rPr>
      </w:pPr>
      <w:r w:rsidRPr="008F7D40">
        <w:rPr>
          <w:rFonts w:cs="Times New Roman"/>
          <w:spacing w:val="-5"/>
          <w:szCs w:val="24"/>
          <w:shd w:val="clear" w:color="auto" w:fill="FFFFFF"/>
        </w:rPr>
        <w:t xml:space="preserve">Field, A.P. (2005). </w:t>
      </w:r>
      <w:r w:rsidRPr="008F7D40">
        <w:rPr>
          <w:rFonts w:cs="Times New Roman"/>
          <w:i/>
          <w:spacing w:val="-5"/>
          <w:szCs w:val="24"/>
          <w:shd w:val="clear" w:color="auto" w:fill="FFFFFF"/>
        </w:rPr>
        <w:t xml:space="preserve">Discovering Statistics Using SPSS, </w:t>
      </w:r>
      <w:r w:rsidRPr="008F7D40">
        <w:rPr>
          <w:rFonts w:cs="Times New Roman"/>
          <w:spacing w:val="-5"/>
          <w:szCs w:val="24"/>
          <w:shd w:val="clear" w:color="auto" w:fill="FFFFFF"/>
        </w:rPr>
        <w:t>2</w:t>
      </w:r>
      <w:r w:rsidRPr="008F7D40">
        <w:rPr>
          <w:rFonts w:cs="Times New Roman"/>
          <w:spacing w:val="-5"/>
          <w:szCs w:val="24"/>
          <w:shd w:val="clear" w:color="auto" w:fill="FFFFFF"/>
          <w:vertAlign w:val="superscript"/>
        </w:rPr>
        <w:t>nd</w:t>
      </w:r>
      <w:r w:rsidRPr="008F7D40">
        <w:rPr>
          <w:rFonts w:cs="Times New Roman"/>
          <w:spacing w:val="-5"/>
          <w:szCs w:val="24"/>
          <w:shd w:val="clear" w:color="auto" w:fill="FFFFFF"/>
        </w:rPr>
        <w:t xml:space="preserve"> ed. Sage:London, UK </w:t>
      </w:r>
    </w:p>
    <w:p w:rsidR="008F7D40" w:rsidRPr="008F7D40" w:rsidRDefault="008F7D40" w:rsidP="008F7D40">
      <w:pPr>
        <w:spacing w:line="240" w:lineRule="auto"/>
        <w:rPr>
          <w:rFonts w:cs="Times New Roman"/>
          <w:spacing w:val="-5"/>
          <w:szCs w:val="24"/>
          <w:shd w:val="clear" w:color="auto" w:fill="FFFFFF"/>
        </w:rPr>
      </w:pPr>
      <w:r w:rsidRPr="008F7D40">
        <w:rPr>
          <w:rFonts w:cs="Times New Roman"/>
          <w:spacing w:val="-5"/>
          <w:szCs w:val="24"/>
          <w:shd w:val="clear" w:color="auto" w:fill="FFFFFF"/>
        </w:rPr>
        <w:t xml:space="preserve">Gallant, N. &amp; Robinson, S. (2011). Local perspectives on rural housing affordability and implications for the localism agenda in England. </w:t>
      </w:r>
      <w:r w:rsidRPr="008F7D40">
        <w:rPr>
          <w:rFonts w:cs="Times New Roman"/>
          <w:i/>
          <w:spacing w:val="-5"/>
          <w:szCs w:val="24"/>
          <w:shd w:val="clear" w:color="auto" w:fill="FFFFFF"/>
        </w:rPr>
        <w:t>Journal of Rural Studies, 27</w:t>
      </w:r>
      <w:r w:rsidRPr="008F7D40">
        <w:rPr>
          <w:rFonts w:cs="Times New Roman"/>
          <w:spacing w:val="-5"/>
          <w:szCs w:val="24"/>
          <w:shd w:val="clear" w:color="auto" w:fill="FFFFFF"/>
        </w:rPr>
        <w:t xml:space="preserve">(3), 297-307. doi: </w:t>
      </w:r>
      <w:hyperlink r:id="rId21" w:history="1">
        <w:r w:rsidRPr="008F7D40">
          <w:rPr>
            <w:rStyle w:val="Hyperlink"/>
            <w:rFonts w:cs="Times New Roman"/>
            <w:color w:val="auto"/>
            <w:spacing w:val="-5"/>
            <w:szCs w:val="24"/>
            <w:u w:val="none"/>
            <w:shd w:val="clear" w:color="auto" w:fill="FFFFFF"/>
          </w:rPr>
          <w:t>https://doi.org/10.1016/j.jrurstud.2011.05.004</w:t>
        </w:r>
      </w:hyperlink>
      <w:r w:rsidRPr="008F7D40">
        <w:rPr>
          <w:rFonts w:cs="Times New Roman"/>
          <w:spacing w:val="-5"/>
          <w:szCs w:val="24"/>
          <w:shd w:val="clear" w:color="auto" w:fill="FFFFFF"/>
        </w:rPr>
        <w:t>.</w:t>
      </w:r>
    </w:p>
    <w:p w:rsidR="008F7D40" w:rsidRPr="008F7D40" w:rsidRDefault="008F7D40" w:rsidP="008F7D40">
      <w:pPr>
        <w:spacing w:line="240" w:lineRule="auto"/>
        <w:rPr>
          <w:rFonts w:cs="Times New Roman"/>
          <w:spacing w:val="-5"/>
          <w:szCs w:val="24"/>
          <w:shd w:val="clear" w:color="auto" w:fill="FFFFFF"/>
        </w:rPr>
      </w:pPr>
      <w:r w:rsidRPr="008F7D40">
        <w:rPr>
          <w:rFonts w:cs="Times New Roman"/>
          <w:spacing w:val="-5"/>
          <w:szCs w:val="24"/>
          <w:shd w:val="clear" w:color="auto" w:fill="FFFFFF"/>
        </w:rPr>
        <w:t xml:space="preserve">Galluzzo, N. (2019). An assessment of rurality in Italian farms using a quantitative approach. </w:t>
      </w:r>
      <w:r w:rsidRPr="008F7D40">
        <w:rPr>
          <w:rFonts w:cs="Times New Roman"/>
          <w:i/>
          <w:spacing w:val="-5"/>
          <w:szCs w:val="24"/>
          <w:shd w:val="clear" w:color="auto" w:fill="FFFFFF"/>
        </w:rPr>
        <w:t>Bulgarian Journal of Agricultural Science, 25</w:t>
      </w:r>
      <w:r w:rsidRPr="008F7D40">
        <w:rPr>
          <w:rFonts w:cs="Times New Roman"/>
          <w:spacing w:val="-5"/>
          <w:szCs w:val="24"/>
          <w:shd w:val="clear" w:color="auto" w:fill="FFFFFF"/>
        </w:rPr>
        <w:t xml:space="preserve">(3), 433-438.   </w:t>
      </w:r>
    </w:p>
    <w:p w:rsidR="008F7D40" w:rsidRPr="008F7D40" w:rsidRDefault="008F7D40" w:rsidP="008F7D40">
      <w:pPr>
        <w:spacing w:line="240" w:lineRule="auto"/>
        <w:rPr>
          <w:rFonts w:cs="Times New Roman"/>
          <w:spacing w:val="-5"/>
          <w:szCs w:val="24"/>
          <w:shd w:val="clear" w:color="auto" w:fill="FFFFFF"/>
        </w:rPr>
      </w:pPr>
      <w:r w:rsidRPr="008F7D40">
        <w:rPr>
          <w:rFonts w:cs="Times New Roman"/>
          <w:spacing w:val="-5"/>
          <w:szCs w:val="24"/>
          <w:shd w:val="clear" w:color="auto" w:fill="FFFFFF"/>
        </w:rPr>
        <w:t xml:space="preserve"> García-Sanz, B. (1994). Nuevas claves para entender la recuperactión de la sociedad rural. </w:t>
      </w:r>
      <w:r w:rsidRPr="008F7D40">
        <w:rPr>
          <w:rFonts w:cs="Times New Roman"/>
          <w:i/>
          <w:spacing w:val="-5"/>
          <w:szCs w:val="24"/>
          <w:shd w:val="clear" w:color="auto" w:fill="FFFFFF"/>
        </w:rPr>
        <w:t>Papeles de Econom</w:t>
      </w:r>
      <w:r w:rsidRPr="008F7D40">
        <w:rPr>
          <w:rFonts w:cs="Times New Roman"/>
          <w:spacing w:val="-5"/>
          <w:szCs w:val="24"/>
          <w:shd w:val="clear" w:color="auto" w:fill="FFFFFF"/>
        </w:rPr>
        <w:t>í</w:t>
      </w:r>
      <w:r w:rsidRPr="008F7D40">
        <w:rPr>
          <w:rFonts w:cs="Times New Roman"/>
          <w:i/>
          <w:spacing w:val="-5"/>
          <w:szCs w:val="24"/>
          <w:shd w:val="clear" w:color="auto" w:fill="FFFFFF"/>
        </w:rPr>
        <w:t>a Española, 60</w:t>
      </w:r>
      <w:r w:rsidRPr="008F7D40">
        <w:rPr>
          <w:rFonts w:cs="Times New Roman"/>
          <w:spacing w:val="-5"/>
          <w:szCs w:val="24"/>
          <w:shd w:val="clear" w:color="auto" w:fill="FFFFFF"/>
        </w:rPr>
        <w:t>, 204-218</w:t>
      </w:r>
    </w:p>
    <w:p w:rsidR="008F7D40" w:rsidRPr="008F7D40" w:rsidRDefault="008F7D40" w:rsidP="008F7D40">
      <w:pPr>
        <w:spacing w:line="240" w:lineRule="auto"/>
        <w:rPr>
          <w:rFonts w:cs="Times New Roman"/>
          <w:spacing w:val="-5"/>
          <w:szCs w:val="24"/>
          <w:shd w:val="clear" w:color="auto" w:fill="FFFFFF"/>
        </w:rPr>
      </w:pPr>
      <w:r w:rsidRPr="008F7D40">
        <w:rPr>
          <w:rFonts w:cs="Times New Roman"/>
          <w:spacing w:val="-5"/>
          <w:szCs w:val="24"/>
          <w:shd w:val="clear" w:color="auto" w:fill="FFFFFF"/>
        </w:rPr>
        <w:t xml:space="preserve">George, D. &amp; Mallery, P. (2006). </w:t>
      </w:r>
      <w:r w:rsidRPr="008F7D40">
        <w:rPr>
          <w:rFonts w:cs="Times New Roman"/>
          <w:i/>
          <w:spacing w:val="-5"/>
          <w:szCs w:val="24"/>
          <w:shd w:val="clear" w:color="auto" w:fill="FFFFFF"/>
        </w:rPr>
        <w:t>SPSS for Windows Step by Step: A Simple Guide and Reference, 6</w:t>
      </w:r>
      <w:r w:rsidRPr="008F7D40">
        <w:rPr>
          <w:rFonts w:cs="Times New Roman"/>
          <w:i/>
          <w:spacing w:val="-5"/>
          <w:szCs w:val="24"/>
          <w:shd w:val="clear" w:color="auto" w:fill="FFFFFF"/>
          <w:vertAlign w:val="superscript"/>
        </w:rPr>
        <w:t>th</w:t>
      </w:r>
      <w:r w:rsidRPr="008F7D40">
        <w:rPr>
          <w:rFonts w:cs="Times New Roman"/>
          <w:i/>
          <w:spacing w:val="-5"/>
          <w:szCs w:val="24"/>
          <w:shd w:val="clear" w:color="auto" w:fill="FFFFFF"/>
        </w:rPr>
        <w:t xml:space="preserve"> ed. </w:t>
      </w:r>
      <w:r w:rsidRPr="008F7D40">
        <w:rPr>
          <w:rFonts w:cs="Times New Roman"/>
          <w:spacing w:val="-5"/>
          <w:szCs w:val="24"/>
          <w:shd w:val="clear" w:color="auto" w:fill="FFFFFF"/>
        </w:rPr>
        <w:t>Pearson Education in South Asia: Delhi, India</w:t>
      </w:r>
    </w:p>
    <w:p w:rsidR="008F7D40" w:rsidRPr="008F7D40" w:rsidRDefault="008F7D40" w:rsidP="008F7D40">
      <w:pPr>
        <w:spacing w:line="240" w:lineRule="auto"/>
        <w:rPr>
          <w:rFonts w:cs="Times New Roman"/>
          <w:spacing w:val="-5"/>
          <w:szCs w:val="24"/>
          <w:shd w:val="clear" w:color="auto" w:fill="FFFFFF"/>
        </w:rPr>
      </w:pPr>
      <w:r w:rsidRPr="008F7D40">
        <w:rPr>
          <w:rFonts w:cs="Times New Roman"/>
          <w:spacing w:val="-5"/>
          <w:szCs w:val="24"/>
          <w:shd w:val="clear" w:color="auto" w:fill="FFFFFF"/>
        </w:rPr>
        <w:t xml:space="preserve">Gilg, A.W. (1983). </w:t>
      </w:r>
      <w:r w:rsidRPr="008F7D40">
        <w:rPr>
          <w:rFonts w:cs="Times New Roman"/>
          <w:i/>
          <w:spacing w:val="-5"/>
          <w:szCs w:val="24"/>
          <w:shd w:val="clear" w:color="auto" w:fill="FFFFFF"/>
        </w:rPr>
        <w:t>Population and employment. 74-105 in M. Pacione ed., Progress in rural geography</w:t>
      </w:r>
      <w:r w:rsidRPr="008F7D40">
        <w:rPr>
          <w:rFonts w:cs="Times New Roman"/>
          <w:spacing w:val="-5"/>
          <w:szCs w:val="24"/>
          <w:shd w:val="clear" w:color="auto" w:fill="FFFFFF"/>
        </w:rPr>
        <w:t>. London: Croom Helm.</w:t>
      </w:r>
    </w:p>
    <w:p w:rsidR="008F7D40" w:rsidRPr="008F7D40" w:rsidRDefault="008F7D40" w:rsidP="008F7D40">
      <w:pPr>
        <w:spacing w:line="240" w:lineRule="auto"/>
        <w:rPr>
          <w:rFonts w:cs="Times New Roman"/>
          <w:spacing w:val="-5"/>
          <w:szCs w:val="24"/>
          <w:shd w:val="clear" w:color="auto" w:fill="FFFFFF"/>
        </w:rPr>
      </w:pPr>
      <w:r w:rsidRPr="008F7D40">
        <w:rPr>
          <w:rFonts w:cs="Times New Roman"/>
          <w:spacing w:val="-5"/>
          <w:szCs w:val="24"/>
          <w:shd w:val="clear" w:color="auto" w:fill="FFFFFF"/>
        </w:rPr>
        <w:t xml:space="preserve">Hahn, M.B., Reiderer, A.M. &amp; Foster, S.O. (2009) The Livelihood Vulnerability Index: A Pragmatic approach to assessing risks from climate variability and change- A case study in Mozambique. </w:t>
      </w:r>
      <w:r w:rsidRPr="008F7D40">
        <w:rPr>
          <w:rFonts w:cs="Times New Roman"/>
          <w:i/>
          <w:spacing w:val="-5"/>
          <w:szCs w:val="24"/>
          <w:shd w:val="clear" w:color="auto" w:fill="FFFFFF"/>
        </w:rPr>
        <w:t>Global Environmental Change, 19</w:t>
      </w:r>
      <w:r w:rsidRPr="008F7D40">
        <w:rPr>
          <w:rFonts w:cs="Times New Roman"/>
          <w:spacing w:val="-5"/>
          <w:szCs w:val="24"/>
          <w:shd w:val="clear" w:color="auto" w:fill="FFFFFF"/>
        </w:rPr>
        <w:t xml:space="preserve">(1), 74-88. doi: </w:t>
      </w:r>
      <w:hyperlink r:id="rId22" w:tgtFrame="_blank" w:tooltip="Persistent link using digital object identifier" w:history="1">
        <w:r w:rsidRPr="008F7D40">
          <w:rPr>
            <w:rStyle w:val="Hyperlink"/>
            <w:rFonts w:cs="Times New Roman"/>
            <w:color w:val="auto"/>
            <w:szCs w:val="24"/>
            <w:u w:val="none"/>
          </w:rPr>
          <w:t>https://doi.org/10.1016/j.gloenvcha.2008.11.002</w:t>
        </w:r>
      </w:hyperlink>
      <w:r w:rsidRPr="008F7D40">
        <w:rPr>
          <w:rFonts w:cs="Times New Roman"/>
          <w:spacing w:val="-5"/>
          <w:szCs w:val="24"/>
          <w:shd w:val="clear" w:color="auto" w:fill="FFFFFF"/>
        </w:rPr>
        <w:t xml:space="preserve">    </w:t>
      </w:r>
    </w:p>
    <w:p w:rsidR="008F7D40" w:rsidRPr="008F7D40" w:rsidRDefault="008F7D40" w:rsidP="008F7D40">
      <w:pPr>
        <w:spacing w:line="240" w:lineRule="auto"/>
        <w:rPr>
          <w:rFonts w:cs="Times New Roman"/>
          <w:spacing w:val="-5"/>
          <w:szCs w:val="24"/>
          <w:shd w:val="clear" w:color="auto" w:fill="FFFFFF"/>
        </w:rPr>
      </w:pPr>
      <w:r w:rsidRPr="008F7D40">
        <w:rPr>
          <w:rFonts w:cs="Times New Roman"/>
          <w:spacing w:val="-5"/>
          <w:szCs w:val="24"/>
          <w:shd w:val="clear" w:color="auto" w:fill="FFFFFF"/>
        </w:rPr>
        <w:t xml:space="preserve">Halfacree, K.H. (1993). Locality and social representation: space, discourse and alternative definitions of the rural. </w:t>
      </w:r>
      <w:r w:rsidRPr="008F7D40">
        <w:rPr>
          <w:rFonts w:cs="Times New Roman"/>
          <w:i/>
          <w:spacing w:val="-5"/>
          <w:szCs w:val="24"/>
          <w:shd w:val="clear" w:color="auto" w:fill="FFFFFF"/>
        </w:rPr>
        <w:t>Journal of Rural Studies, 9</w:t>
      </w:r>
      <w:r w:rsidRPr="008F7D40">
        <w:rPr>
          <w:rFonts w:cs="Times New Roman"/>
          <w:spacing w:val="-5"/>
          <w:szCs w:val="24"/>
          <w:shd w:val="clear" w:color="auto" w:fill="FFFFFF"/>
        </w:rPr>
        <w:t xml:space="preserve">(1), 23-37. doi: </w:t>
      </w:r>
      <w:hyperlink r:id="rId23" w:history="1">
        <w:r w:rsidRPr="008F7D40">
          <w:rPr>
            <w:rStyle w:val="Hyperlink"/>
            <w:rFonts w:cs="Times New Roman"/>
            <w:color w:val="auto"/>
            <w:spacing w:val="-5"/>
            <w:szCs w:val="24"/>
            <w:u w:val="none"/>
            <w:shd w:val="clear" w:color="auto" w:fill="FFFFFF"/>
          </w:rPr>
          <w:t>https://doi.org/10.1016/0743-0167(93)90003-3</w:t>
        </w:r>
      </w:hyperlink>
    </w:p>
    <w:p w:rsidR="008F7D40" w:rsidRPr="008F7D40" w:rsidRDefault="008F7D40" w:rsidP="008F7D40">
      <w:pPr>
        <w:spacing w:line="240" w:lineRule="auto"/>
        <w:rPr>
          <w:rFonts w:cs="Times New Roman"/>
          <w:szCs w:val="24"/>
        </w:rPr>
      </w:pPr>
      <w:r w:rsidRPr="008F7D40">
        <w:rPr>
          <w:rFonts w:cs="Times New Roman"/>
          <w:spacing w:val="-5"/>
          <w:szCs w:val="24"/>
          <w:shd w:val="clear" w:color="auto" w:fill="FFFFFF"/>
        </w:rPr>
        <w:t xml:space="preserve">Hamim, N.M., Hossain, M.Z., Rahman, K.R. &amp; Mallick, B. (2020). Exploring Vulnerability-Resilience-Livelihood Nexus in the Face of Climate Change: A Multi-Criteria Analysis for Mongla, Bangladesh. </w:t>
      </w:r>
      <w:r w:rsidRPr="008F7D40">
        <w:rPr>
          <w:rFonts w:cs="Times New Roman"/>
          <w:i/>
          <w:spacing w:val="-5"/>
          <w:szCs w:val="24"/>
          <w:shd w:val="clear" w:color="auto" w:fill="FFFFFF"/>
        </w:rPr>
        <w:t>Sustainability, 12</w:t>
      </w:r>
      <w:r w:rsidRPr="008F7D40">
        <w:rPr>
          <w:rFonts w:cs="Times New Roman"/>
          <w:spacing w:val="-5"/>
          <w:szCs w:val="24"/>
          <w:shd w:val="clear" w:color="auto" w:fill="FFFFFF"/>
        </w:rPr>
        <w:t xml:space="preserve">(17), 7057. doi: </w:t>
      </w:r>
      <w:r w:rsidRPr="008F7D40">
        <w:rPr>
          <w:rFonts w:cs="Times New Roman"/>
          <w:szCs w:val="24"/>
          <w:shd w:val="clear" w:color="auto" w:fill="FFFFFF"/>
        </w:rPr>
        <w:t> </w:t>
      </w:r>
      <w:hyperlink r:id="rId24" w:history="1">
        <w:r w:rsidRPr="008F7D40">
          <w:rPr>
            <w:rStyle w:val="Hyperlink"/>
            <w:rFonts w:cs="Times New Roman"/>
            <w:bCs/>
            <w:color w:val="auto"/>
            <w:szCs w:val="24"/>
            <w:u w:val="none"/>
            <w:shd w:val="clear" w:color="auto" w:fill="FFFFFF"/>
          </w:rPr>
          <w:t>https://doi.org/10.3390/su12177054</w:t>
        </w:r>
      </w:hyperlink>
      <w:r w:rsidRPr="008F7D40">
        <w:rPr>
          <w:rFonts w:cs="Times New Roman"/>
          <w:spacing w:val="-5"/>
          <w:szCs w:val="24"/>
          <w:shd w:val="clear" w:color="auto" w:fill="FFFFFF"/>
        </w:rPr>
        <w:t xml:space="preserve">  </w:t>
      </w:r>
    </w:p>
    <w:p w:rsidR="008F7D40" w:rsidRPr="008F7D40" w:rsidRDefault="008F7D40" w:rsidP="008F7D40">
      <w:pPr>
        <w:spacing w:line="240" w:lineRule="auto"/>
        <w:rPr>
          <w:rFonts w:cs="Times New Roman"/>
          <w:spacing w:val="-5"/>
          <w:szCs w:val="24"/>
          <w:shd w:val="clear" w:color="auto" w:fill="FFFFFF"/>
        </w:rPr>
      </w:pPr>
      <w:r w:rsidRPr="008F7D40">
        <w:rPr>
          <w:rFonts w:cs="Times New Roman"/>
          <w:spacing w:val="-5"/>
          <w:szCs w:val="24"/>
          <w:shd w:val="clear" w:color="auto" w:fill="FFFFFF"/>
        </w:rPr>
        <w:t xml:space="preserve">Harrington, V. &amp; O’Donoghue, D. (1998). Rurality in England and Wales 1991: A Replication and Extension of the 1981 Rurality Index. </w:t>
      </w:r>
      <w:r w:rsidRPr="008F7D40">
        <w:rPr>
          <w:rFonts w:cs="Times New Roman"/>
          <w:i/>
          <w:spacing w:val="-5"/>
          <w:szCs w:val="24"/>
          <w:shd w:val="clear" w:color="auto" w:fill="FFFFFF"/>
        </w:rPr>
        <w:t>Sociologia Ruralis, 38</w:t>
      </w:r>
      <w:r w:rsidRPr="008F7D40">
        <w:rPr>
          <w:rFonts w:cs="Times New Roman"/>
          <w:spacing w:val="-5"/>
          <w:szCs w:val="24"/>
          <w:shd w:val="clear" w:color="auto" w:fill="FFFFFF"/>
        </w:rPr>
        <w:t xml:space="preserve">(2), 178-203. Retrieved February 7, 2021 from </w:t>
      </w:r>
      <w:hyperlink r:id="rId25" w:history="1">
        <w:r w:rsidRPr="008F7D40">
          <w:rPr>
            <w:rStyle w:val="Hyperlink"/>
            <w:rFonts w:cs="Times New Roman"/>
            <w:color w:val="auto"/>
            <w:spacing w:val="-5"/>
            <w:szCs w:val="24"/>
            <w:u w:val="none"/>
            <w:shd w:val="clear" w:color="auto" w:fill="FFFFFF"/>
          </w:rPr>
          <w:t>https://www.researchgate.net/publication/286949940_Rurality_in_England_and_Wales_1991_a_replication_and_expansion_of_the_1981_rurality_index</w:t>
        </w:r>
      </w:hyperlink>
    </w:p>
    <w:p w:rsidR="008F7D40" w:rsidRPr="008F7D40" w:rsidRDefault="008F7D40" w:rsidP="008F7D40">
      <w:pPr>
        <w:spacing w:line="240" w:lineRule="auto"/>
        <w:rPr>
          <w:rFonts w:cs="Times New Roman"/>
          <w:spacing w:val="-5"/>
          <w:szCs w:val="24"/>
          <w:shd w:val="clear" w:color="auto" w:fill="FFFFFF"/>
        </w:rPr>
      </w:pPr>
      <w:r w:rsidRPr="008F7D40">
        <w:rPr>
          <w:rFonts w:cs="Times New Roman"/>
          <w:spacing w:val="-5"/>
          <w:szCs w:val="24"/>
          <w:shd w:val="clear" w:color="auto" w:fill="FFFFFF"/>
        </w:rPr>
        <w:t xml:space="preserve">Hewitt, M. (1989). </w:t>
      </w:r>
      <w:r w:rsidRPr="008F7D40">
        <w:rPr>
          <w:rFonts w:cs="Times New Roman"/>
          <w:i/>
          <w:spacing w:val="-5"/>
          <w:szCs w:val="24"/>
          <w:shd w:val="clear" w:color="auto" w:fill="FFFFFF"/>
        </w:rPr>
        <w:t xml:space="preserve">Defining Rural Areas: Impact on Health Care Policy and Research. </w:t>
      </w:r>
      <w:r w:rsidRPr="008F7D40">
        <w:rPr>
          <w:rFonts w:cs="Times New Roman"/>
          <w:spacing w:val="-5"/>
          <w:szCs w:val="24"/>
          <w:shd w:val="clear" w:color="auto" w:fill="FFFFFF"/>
        </w:rPr>
        <w:t>US Government Printing Office, Washington.</w:t>
      </w:r>
    </w:p>
    <w:p w:rsidR="008F7D40" w:rsidRPr="008F7D40" w:rsidRDefault="008F7D40" w:rsidP="008F7D40">
      <w:pPr>
        <w:spacing w:line="240" w:lineRule="auto"/>
        <w:rPr>
          <w:rFonts w:cs="Times New Roman"/>
          <w:spacing w:val="-5"/>
          <w:szCs w:val="24"/>
          <w:shd w:val="clear" w:color="auto" w:fill="FFFFFF"/>
        </w:rPr>
      </w:pPr>
      <w:r w:rsidRPr="008F7D40">
        <w:rPr>
          <w:rFonts w:cs="Times New Roman"/>
          <w:spacing w:val="-5"/>
          <w:szCs w:val="24"/>
          <w:shd w:val="clear" w:color="auto" w:fill="FFFFFF"/>
        </w:rPr>
        <w:t xml:space="preserve">Hodge, K. &amp; Whitby, M. (1981). </w:t>
      </w:r>
      <w:r w:rsidRPr="008F7D40">
        <w:rPr>
          <w:rFonts w:cs="Times New Roman"/>
          <w:i/>
          <w:spacing w:val="-5"/>
          <w:szCs w:val="24"/>
          <w:shd w:val="clear" w:color="auto" w:fill="FFFFFF"/>
        </w:rPr>
        <w:t>Rural employment: trends, options, choices</w:t>
      </w:r>
      <w:r w:rsidRPr="008F7D40">
        <w:rPr>
          <w:rFonts w:cs="Times New Roman"/>
          <w:spacing w:val="-5"/>
          <w:szCs w:val="24"/>
          <w:shd w:val="clear" w:color="auto" w:fill="FFFFFF"/>
        </w:rPr>
        <w:t xml:space="preserve">. London: Methuen.   </w:t>
      </w:r>
    </w:p>
    <w:p w:rsidR="008F7D40" w:rsidRPr="008F7D40" w:rsidRDefault="008F7D40" w:rsidP="008F7D40">
      <w:pPr>
        <w:spacing w:line="240" w:lineRule="auto"/>
        <w:rPr>
          <w:rFonts w:cs="Times New Roman"/>
          <w:spacing w:val="-5"/>
          <w:szCs w:val="24"/>
          <w:shd w:val="clear" w:color="auto" w:fill="FFFFFF"/>
        </w:rPr>
      </w:pPr>
      <w:r w:rsidRPr="008F7D40">
        <w:rPr>
          <w:rFonts w:cs="Times New Roman"/>
          <w:spacing w:val="-5"/>
          <w:szCs w:val="24"/>
          <w:shd w:val="clear" w:color="auto" w:fill="FFFFFF"/>
        </w:rPr>
        <w:lastRenderedPageBreak/>
        <w:t xml:space="preserve">Hugo, G., Champion, A. &amp; Lattes, A. (2003). Towards a new conceptualization of settlements for demography. </w:t>
      </w:r>
      <w:r w:rsidRPr="008F7D40">
        <w:rPr>
          <w:rFonts w:cs="Times New Roman"/>
          <w:i/>
          <w:spacing w:val="-5"/>
          <w:szCs w:val="24"/>
          <w:shd w:val="clear" w:color="auto" w:fill="FFFFFF"/>
        </w:rPr>
        <w:t>Population and Development Review, 29</w:t>
      </w:r>
      <w:r w:rsidRPr="008F7D40">
        <w:rPr>
          <w:rFonts w:cs="Times New Roman"/>
          <w:spacing w:val="-5"/>
          <w:szCs w:val="24"/>
          <w:shd w:val="clear" w:color="auto" w:fill="FFFFFF"/>
        </w:rPr>
        <w:t xml:space="preserve">(2), 277-297. Retrieved March 26, 2021, from http://www.jstor.org/stable/3115228 </w:t>
      </w:r>
    </w:p>
    <w:p w:rsidR="008F7D40" w:rsidRPr="008F7D40" w:rsidRDefault="008F7D40" w:rsidP="008F7D40">
      <w:pPr>
        <w:spacing w:before="100" w:beforeAutospacing="1" w:after="100" w:afterAutospacing="1" w:line="240" w:lineRule="auto"/>
        <w:rPr>
          <w:rStyle w:val="Hyperlink"/>
          <w:rFonts w:cs="Times New Roman"/>
          <w:color w:val="auto"/>
          <w:szCs w:val="24"/>
          <w:u w:val="none"/>
        </w:rPr>
      </w:pPr>
      <w:r w:rsidRPr="008F7D40">
        <w:rPr>
          <w:rFonts w:cs="Times New Roman"/>
          <w:spacing w:val="-5"/>
          <w:szCs w:val="24"/>
          <w:shd w:val="clear" w:color="auto" w:fill="FFFFFF"/>
        </w:rPr>
        <w:t xml:space="preserve">Humphreys, J.S. (1998). Delimiting rural: Implications of an agreed rurality index for healthcare planning and resource allocation. </w:t>
      </w:r>
      <w:r w:rsidRPr="008F7D40">
        <w:rPr>
          <w:rFonts w:cs="Times New Roman"/>
          <w:i/>
          <w:spacing w:val="-5"/>
          <w:szCs w:val="24"/>
          <w:shd w:val="clear" w:color="auto" w:fill="FFFFFF"/>
        </w:rPr>
        <w:t>Australian Journal of Rural Health</w:t>
      </w:r>
      <w:r w:rsidRPr="008F7D40">
        <w:rPr>
          <w:rFonts w:cs="Times New Roman"/>
          <w:spacing w:val="-5"/>
          <w:szCs w:val="24"/>
          <w:shd w:val="clear" w:color="auto" w:fill="FFFFFF"/>
        </w:rPr>
        <w:t xml:space="preserve">, </w:t>
      </w:r>
      <w:r w:rsidRPr="008F7D40">
        <w:rPr>
          <w:rFonts w:cs="Times New Roman"/>
          <w:i/>
          <w:spacing w:val="-5"/>
          <w:szCs w:val="24"/>
          <w:shd w:val="clear" w:color="auto" w:fill="FFFFFF"/>
        </w:rPr>
        <w:t>6</w:t>
      </w:r>
      <w:r w:rsidRPr="008F7D40">
        <w:rPr>
          <w:rFonts w:cs="Times New Roman"/>
          <w:spacing w:val="-5"/>
          <w:szCs w:val="24"/>
          <w:shd w:val="clear" w:color="auto" w:fill="FFFFFF"/>
        </w:rPr>
        <w:t xml:space="preserve">(4), 212-216. doi: </w:t>
      </w:r>
      <w:hyperlink r:id="rId26" w:tgtFrame="_blank" w:history="1">
        <w:r w:rsidRPr="008F7D40">
          <w:rPr>
            <w:rStyle w:val="Hyperlink"/>
            <w:rFonts w:cs="Times New Roman"/>
            <w:color w:val="auto"/>
            <w:szCs w:val="24"/>
            <w:u w:val="none"/>
          </w:rPr>
          <w:t>10.1111/j.1440-1584.1998.tb00315.x</w:t>
        </w:r>
      </w:hyperlink>
    </w:p>
    <w:p w:rsidR="008F7D40" w:rsidRPr="008F7D40" w:rsidRDefault="008F7D40" w:rsidP="008F7D40">
      <w:pPr>
        <w:spacing w:before="100" w:beforeAutospacing="1" w:after="100" w:afterAutospacing="1" w:line="240" w:lineRule="auto"/>
        <w:rPr>
          <w:rStyle w:val="Hyperlink"/>
          <w:rFonts w:cs="Times New Roman"/>
          <w:color w:val="auto"/>
          <w:szCs w:val="24"/>
          <w:u w:val="none"/>
          <w:shd w:val="clear" w:color="auto" w:fill="FFFFFF"/>
        </w:rPr>
      </w:pPr>
      <w:r w:rsidRPr="008F7D40">
        <w:rPr>
          <w:rStyle w:val="Hyperlink"/>
          <w:rFonts w:cs="Times New Roman"/>
          <w:color w:val="auto"/>
          <w:szCs w:val="24"/>
          <w:u w:val="none"/>
        </w:rPr>
        <w:t xml:space="preserve">Isserman, A. (2005). In the national interest: Defining rural correctly for research and policy. </w:t>
      </w:r>
      <w:r w:rsidRPr="008F7D40">
        <w:rPr>
          <w:rStyle w:val="Hyperlink"/>
          <w:rFonts w:cs="Times New Roman"/>
          <w:i/>
          <w:color w:val="auto"/>
          <w:szCs w:val="24"/>
          <w:u w:val="none"/>
        </w:rPr>
        <w:t>International Regional Science Review, 28</w:t>
      </w:r>
      <w:r w:rsidRPr="008F7D40">
        <w:rPr>
          <w:rStyle w:val="Hyperlink"/>
          <w:rFonts w:cs="Times New Roman"/>
          <w:color w:val="auto"/>
          <w:szCs w:val="24"/>
          <w:u w:val="none"/>
        </w:rPr>
        <w:t xml:space="preserve">(4), 465-499. doi: </w:t>
      </w:r>
      <w:hyperlink r:id="rId27" w:history="1">
        <w:r w:rsidRPr="008F7D40">
          <w:rPr>
            <w:rStyle w:val="Hyperlink"/>
            <w:rFonts w:cs="Times New Roman"/>
            <w:color w:val="auto"/>
            <w:szCs w:val="24"/>
            <w:u w:val="none"/>
            <w:shd w:val="clear" w:color="auto" w:fill="FFFFFF"/>
          </w:rPr>
          <w:t>https://doi.org/10.1177/0160017605279000</w:t>
        </w:r>
      </w:hyperlink>
    </w:p>
    <w:p w:rsidR="008F7D40" w:rsidRPr="008F7D40" w:rsidRDefault="008F7D40" w:rsidP="008F7D40">
      <w:pPr>
        <w:spacing w:before="100" w:beforeAutospacing="1" w:after="100" w:afterAutospacing="1" w:line="240" w:lineRule="auto"/>
        <w:rPr>
          <w:rFonts w:cs="Times New Roman"/>
          <w:szCs w:val="24"/>
        </w:rPr>
      </w:pPr>
      <w:r w:rsidRPr="008F7D40">
        <w:rPr>
          <w:rStyle w:val="Hyperlink"/>
          <w:rFonts w:cs="Times New Roman"/>
          <w:color w:val="auto"/>
          <w:szCs w:val="24"/>
          <w:u w:val="none"/>
          <w:shd w:val="clear" w:color="auto" w:fill="FFFFFF"/>
        </w:rPr>
        <w:t xml:space="preserve">Kaneko, M., Ohta, R., Vingilis, E. Mathews, M &amp; Freeman, T.R. (2021). Systematic scoping review of factors and measures of rurality: towards the development of a rurality index for health care research in Japan. </w:t>
      </w:r>
      <w:r w:rsidRPr="008F7D40">
        <w:rPr>
          <w:rStyle w:val="Hyperlink"/>
          <w:rFonts w:cs="Times New Roman"/>
          <w:i/>
          <w:color w:val="auto"/>
          <w:szCs w:val="24"/>
          <w:u w:val="none"/>
          <w:shd w:val="clear" w:color="auto" w:fill="FFFFFF"/>
        </w:rPr>
        <w:t>BMC Health Services Research, 21</w:t>
      </w:r>
      <w:r w:rsidRPr="008F7D40">
        <w:rPr>
          <w:rStyle w:val="Hyperlink"/>
          <w:rFonts w:cs="Times New Roman"/>
          <w:color w:val="auto"/>
          <w:szCs w:val="24"/>
          <w:u w:val="none"/>
          <w:shd w:val="clear" w:color="auto" w:fill="FFFFFF"/>
        </w:rPr>
        <w:t xml:space="preserve">(9). doi: </w:t>
      </w:r>
      <w:r w:rsidRPr="008F7D40">
        <w:rPr>
          <w:rFonts w:cs="Times New Roman"/>
          <w:szCs w:val="24"/>
          <w:shd w:val="clear" w:color="auto" w:fill="FFFFFF"/>
        </w:rPr>
        <w:t xml:space="preserve">10.1186/s12913-020-06003-w. </w:t>
      </w:r>
    </w:p>
    <w:p w:rsidR="008F7D40" w:rsidRPr="008F7D40" w:rsidRDefault="008F7D40" w:rsidP="008F7D40">
      <w:pPr>
        <w:spacing w:before="100" w:beforeAutospacing="1" w:after="100" w:afterAutospacing="1" w:line="240" w:lineRule="auto"/>
        <w:rPr>
          <w:rStyle w:val="Hyperlink"/>
          <w:rFonts w:cs="Times New Roman"/>
          <w:color w:val="auto"/>
          <w:szCs w:val="24"/>
          <w:u w:val="none"/>
          <w:bdr w:val="none" w:sz="0" w:space="0" w:color="auto" w:frame="1"/>
          <w:shd w:val="clear" w:color="auto" w:fill="FFFFFF"/>
        </w:rPr>
      </w:pPr>
      <w:r w:rsidRPr="008F7D40">
        <w:rPr>
          <w:rFonts w:cs="Times New Roman"/>
          <w:szCs w:val="24"/>
        </w:rPr>
        <w:t xml:space="preserve">Martin, D., Brigham, P., Roderick, P., Barnett, S. &amp; Diamond, I. (2000). The (mis)representation of rural deprivation. </w:t>
      </w:r>
      <w:r w:rsidRPr="008F7D40">
        <w:rPr>
          <w:rFonts w:cs="Times New Roman"/>
          <w:i/>
          <w:szCs w:val="24"/>
        </w:rPr>
        <w:t>Environment and Planning, 32</w:t>
      </w:r>
      <w:r w:rsidRPr="008F7D40">
        <w:rPr>
          <w:rFonts w:cs="Times New Roman"/>
          <w:szCs w:val="24"/>
        </w:rPr>
        <w:t xml:space="preserve">(4), 735-751. doi: </w:t>
      </w:r>
      <w:hyperlink r:id="rId28" w:tgtFrame="_blank" w:history="1">
        <w:r w:rsidRPr="008F7D40">
          <w:rPr>
            <w:rStyle w:val="Hyperlink"/>
            <w:rFonts w:cs="Times New Roman"/>
            <w:color w:val="auto"/>
            <w:szCs w:val="24"/>
            <w:u w:val="none"/>
            <w:bdr w:val="none" w:sz="0" w:space="0" w:color="auto" w:frame="1"/>
            <w:shd w:val="clear" w:color="auto" w:fill="FFFFFF"/>
          </w:rPr>
          <w:t>10.1068/a32130</w:t>
        </w:r>
      </w:hyperlink>
    </w:p>
    <w:p w:rsidR="008F7D40" w:rsidRPr="008F7D40" w:rsidRDefault="008F7D40" w:rsidP="008F7D40">
      <w:pPr>
        <w:spacing w:line="240" w:lineRule="auto"/>
        <w:rPr>
          <w:rStyle w:val="Hyperlink"/>
          <w:rFonts w:cs="Times New Roman"/>
          <w:color w:val="auto"/>
          <w:spacing w:val="-5"/>
          <w:szCs w:val="24"/>
          <w:u w:val="none"/>
          <w:shd w:val="clear" w:color="auto" w:fill="FFFFFF"/>
        </w:rPr>
      </w:pPr>
      <w:r w:rsidRPr="008F7D40">
        <w:rPr>
          <w:rStyle w:val="Hyperlink"/>
          <w:rFonts w:cs="Times New Roman"/>
          <w:color w:val="auto"/>
          <w:spacing w:val="-5"/>
          <w:szCs w:val="24"/>
          <w:u w:val="none"/>
          <w:shd w:val="clear" w:color="auto" w:fill="FFFFFF"/>
        </w:rPr>
        <w:t xml:space="preserve">Ministry of Planning, Government of Bangladesh. Bangladesh Bureau of Statistics (BBS). (2015). </w:t>
      </w:r>
      <w:r w:rsidRPr="008F7D40">
        <w:rPr>
          <w:rStyle w:val="Hyperlink"/>
          <w:rFonts w:cs="Times New Roman"/>
          <w:i/>
          <w:color w:val="auto"/>
          <w:spacing w:val="-5"/>
          <w:szCs w:val="24"/>
          <w:u w:val="none"/>
          <w:shd w:val="clear" w:color="auto" w:fill="FFFFFF"/>
        </w:rPr>
        <w:t>Population &amp; Housing Census-2011: Community Report of Bagerhat.</w:t>
      </w:r>
      <w:r w:rsidRPr="008F7D40">
        <w:rPr>
          <w:rStyle w:val="Hyperlink"/>
          <w:rFonts w:cs="Times New Roman"/>
          <w:color w:val="auto"/>
          <w:spacing w:val="-5"/>
          <w:szCs w:val="24"/>
          <w:u w:val="none"/>
          <w:shd w:val="clear" w:color="auto" w:fill="FFFFFF"/>
        </w:rPr>
        <w:t xml:space="preserve"> BBS, Statistics and Informatics Division (SID), Ministry of Planning.</w:t>
      </w:r>
    </w:p>
    <w:p w:rsidR="008F7D40" w:rsidRPr="008F7D40" w:rsidRDefault="008F7D40" w:rsidP="008F7D40">
      <w:pPr>
        <w:spacing w:line="240" w:lineRule="auto"/>
        <w:rPr>
          <w:rStyle w:val="Hyperlink"/>
          <w:rFonts w:cs="Times New Roman"/>
          <w:color w:val="auto"/>
          <w:spacing w:val="-5"/>
          <w:szCs w:val="24"/>
          <w:u w:val="none"/>
          <w:shd w:val="clear" w:color="auto" w:fill="FFFFFF"/>
        </w:rPr>
      </w:pPr>
      <w:r w:rsidRPr="008F7D40">
        <w:rPr>
          <w:rStyle w:val="Hyperlink"/>
          <w:rFonts w:cs="Times New Roman"/>
          <w:color w:val="auto"/>
          <w:spacing w:val="-5"/>
          <w:szCs w:val="24"/>
          <w:u w:val="none"/>
          <w:shd w:val="clear" w:color="auto" w:fill="FFFFFF"/>
        </w:rPr>
        <w:t xml:space="preserve">Ministry of Planning, Government of Bangladesh. Bangladesh Bureau of Statistics (BBS). (2015). </w:t>
      </w:r>
      <w:r w:rsidRPr="008F7D40">
        <w:rPr>
          <w:rStyle w:val="Hyperlink"/>
          <w:rFonts w:cs="Times New Roman"/>
          <w:i/>
          <w:color w:val="auto"/>
          <w:spacing w:val="-5"/>
          <w:szCs w:val="24"/>
          <w:u w:val="none"/>
          <w:shd w:val="clear" w:color="auto" w:fill="FFFFFF"/>
        </w:rPr>
        <w:t>Population &amp; Housing Census-2011: Community Report of Khulna.</w:t>
      </w:r>
      <w:r w:rsidRPr="008F7D40">
        <w:rPr>
          <w:rStyle w:val="Hyperlink"/>
          <w:rFonts w:cs="Times New Roman"/>
          <w:color w:val="auto"/>
          <w:spacing w:val="-5"/>
          <w:szCs w:val="24"/>
          <w:u w:val="none"/>
          <w:shd w:val="clear" w:color="auto" w:fill="FFFFFF"/>
        </w:rPr>
        <w:t xml:space="preserve"> BBS, Statistics and Informatics Division (SID), Ministry of Planning.</w:t>
      </w:r>
    </w:p>
    <w:p w:rsidR="008F7D40" w:rsidRPr="008F7D40" w:rsidRDefault="008F7D40" w:rsidP="008F7D40">
      <w:pPr>
        <w:spacing w:line="240" w:lineRule="auto"/>
        <w:rPr>
          <w:rStyle w:val="Hyperlink"/>
          <w:rFonts w:cs="Times New Roman"/>
          <w:i/>
          <w:color w:val="auto"/>
          <w:spacing w:val="-5"/>
          <w:szCs w:val="24"/>
          <w:u w:val="none"/>
          <w:shd w:val="clear" w:color="auto" w:fill="FFFFFF"/>
        </w:rPr>
      </w:pPr>
      <w:r w:rsidRPr="008F7D40">
        <w:rPr>
          <w:rStyle w:val="Hyperlink"/>
          <w:rFonts w:cs="Times New Roman"/>
          <w:color w:val="auto"/>
          <w:spacing w:val="-5"/>
          <w:szCs w:val="24"/>
          <w:u w:val="none"/>
          <w:shd w:val="clear" w:color="auto" w:fill="FFFFFF"/>
        </w:rPr>
        <w:t xml:space="preserve">Ministry of Planning, Government of Bangladesh. Bangladesh Bureau of Statistics (BBS). (2015). </w:t>
      </w:r>
      <w:r w:rsidRPr="008F7D40">
        <w:rPr>
          <w:rStyle w:val="Hyperlink"/>
          <w:rFonts w:cs="Times New Roman"/>
          <w:i/>
          <w:color w:val="auto"/>
          <w:spacing w:val="-5"/>
          <w:szCs w:val="24"/>
          <w:u w:val="none"/>
          <w:shd w:val="clear" w:color="auto" w:fill="FFFFFF"/>
        </w:rPr>
        <w:t>Population &amp; Housing Census-2011: Community Report of Satkhira.</w:t>
      </w:r>
      <w:r w:rsidRPr="008F7D40">
        <w:rPr>
          <w:rStyle w:val="Hyperlink"/>
          <w:rFonts w:cs="Times New Roman"/>
          <w:color w:val="auto"/>
          <w:spacing w:val="-5"/>
          <w:szCs w:val="24"/>
          <w:u w:val="none"/>
          <w:shd w:val="clear" w:color="auto" w:fill="FFFFFF"/>
        </w:rPr>
        <w:t xml:space="preserve"> BBS, Statistics and Informatics Division (SID), Ministry of Planning.</w:t>
      </w:r>
      <w:r w:rsidRPr="008F7D40">
        <w:rPr>
          <w:rStyle w:val="Hyperlink"/>
          <w:rFonts w:cs="Times New Roman"/>
          <w:i/>
          <w:color w:val="auto"/>
          <w:spacing w:val="-5"/>
          <w:szCs w:val="24"/>
          <w:u w:val="none"/>
          <w:shd w:val="clear" w:color="auto" w:fill="FFFFFF"/>
        </w:rPr>
        <w:t xml:space="preserve"> </w:t>
      </w:r>
    </w:p>
    <w:p w:rsidR="008F7D40" w:rsidRPr="008F7D40" w:rsidRDefault="008F7D40" w:rsidP="008F7D40">
      <w:pPr>
        <w:spacing w:before="100" w:beforeAutospacing="1" w:after="100" w:afterAutospacing="1" w:line="240" w:lineRule="auto"/>
        <w:rPr>
          <w:rStyle w:val="Hyperlink"/>
          <w:rFonts w:cs="Times New Roman"/>
          <w:color w:val="auto"/>
          <w:szCs w:val="24"/>
          <w:u w:val="none"/>
          <w:bdr w:val="none" w:sz="0" w:space="0" w:color="auto" w:frame="1"/>
          <w:shd w:val="clear" w:color="auto" w:fill="FFFFFF"/>
        </w:rPr>
      </w:pPr>
      <w:r w:rsidRPr="008F7D40">
        <w:rPr>
          <w:rStyle w:val="Hyperlink"/>
          <w:rFonts w:cs="Times New Roman"/>
          <w:color w:val="auto"/>
          <w:szCs w:val="24"/>
          <w:u w:val="none"/>
          <w:bdr w:val="none" w:sz="0" w:space="0" w:color="auto" w:frame="1"/>
          <w:shd w:val="clear" w:color="auto" w:fill="FFFFFF"/>
        </w:rPr>
        <w:t xml:space="preserve">Moseley, M.J. (1979). </w:t>
      </w:r>
      <w:r w:rsidRPr="008F7D40">
        <w:rPr>
          <w:rStyle w:val="Hyperlink"/>
          <w:rFonts w:cs="Times New Roman"/>
          <w:i/>
          <w:color w:val="auto"/>
          <w:szCs w:val="24"/>
          <w:u w:val="none"/>
          <w:bdr w:val="none" w:sz="0" w:space="0" w:color="auto" w:frame="1"/>
          <w:shd w:val="clear" w:color="auto" w:fill="FFFFFF"/>
        </w:rPr>
        <w:t>Accessibility: the rural challenge</w:t>
      </w:r>
      <w:r w:rsidRPr="008F7D40">
        <w:rPr>
          <w:rStyle w:val="Hyperlink"/>
          <w:rFonts w:cs="Times New Roman"/>
          <w:color w:val="auto"/>
          <w:szCs w:val="24"/>
          <w:u w:val="none"/>
          <w:bdr w:val="none" w:sz="0" w:space="0" w:color="auto" w:frame="1"/>
          <w:shd w:val="clear" w:color="auto" w:fill="FFFFFF"/>
        </w:rPr>
        <w:t>. London: Methuen</w:t>
      </w:r>
    </w:p>
    <w:p w:rsidR="008F7D40" w:rsidRPr="008F7D40" w:rsidRDefault="008F7D40" w:rsidP="008F7D40">
      <w:pPr>
        <w:spacing w:before="100" w:beforeAutospacing="1" w:after="100" w:afterAutospacing="1" w:line="240" w:lineRule="auto"/>
        <w:rPr>
          <w:rStyle w:val="identifier"/>
          <w:rFonts w:cs="Times New Roman"/>
          <w:szCs w:val="24"/>
          <w:bdr w:val="none" w:sz="0" w:space="0" w:color="auto" w:frame="1"/>
          <w:shd w:val="clear" w:color="auto" w:fill="FFFFFF"/>
        </w:rPr>
      </w:pPr>
      <w:r w:rsidRPr="008F7D40">
        <w:rPr>
          <w:rStyle w:val="Hyperlink"/>
          <w:rFonts w:cs="Times New Roman"/>
          <w:color w:val="auto"/>
          <w:szCs w:val="24"/>
          <w:u w:val="none"/>
          <w:bdr w:val="none" w:sz="0" w:space="0" w:color="auto" w:frame="1"/>
          <w:shd w:val="clear" w:color="auto" w:fill="FFFFFF"/>
        </w:rPr>
        <w:t xml:space="preserve"> Murdoch, J. &amp; Pratt, A.C. (1993). Rural studies: modernism. Post-modernism and the ‘post-rural.’ </w:t>
      </w:r>
      <w:r w:rsidRPr="008F7D40">
        <w:rPr>
          <w:rStyle w:val="Hyperlink"/>
          <w:rFonts w:cs="Times New Roman"/>
          <w:i/>
          <w:color w:val="auto"/>
          <w:szCs w:val="24"/>
          <w:u w:val="none"/>
          <w:bdr w:val="none" w:sz="0" w:space="0" w:color="auto" w:frame="1"/>
          <w:shd w:val="clear" w:color="auto" w:fill="FFFFFF"/>
        </w:rPr>
        <w:t>Journal of Rural Studies, 9</w:t>
      </w:r>
      <w:r w:rsidRPr="008F7D40">
        <w:rPr>
          <w:rStyle w:val="Hyperlink"/>
          <w:rFonts w:cs="Times New Roman"/>
          <w:color w:val="auto"/>
          <w:szCs w:val="24"/>
          <w:u w:val="none"/>
          <w:bdr w:val="none" w:sz="0" w:space="0" w:color="auto" w:frame="1"/>
          <w:shd w:val="clear" w:color="auto" w:fill="FFFFFF"/>
        </w:rPr>
        <w:t>(4), 441-427. doi: https://doi.org/10.1016/0743-0167(93)90053-M.</w:t>
      </w:r>
      <w:r w:rsidRPr="008F7D40">
        <w:rPr>
          <w:rFonts w:cs="Times New Roman"/>
          <w:szCs w:val="24"/>
        </w:rPr>
        <w:t xml:space="preserve"> </w:t>
      </w:r>
    </w:p>
    <w:p w:rsidR="008F7D40" w:rsidRPr="008F7D40" w:rsidRDefault="008F7D40" w:rsidP="008F7D40">
      <w:pPr>
        <w:spacing w:line="240" w:lineRule="auto"/>
        <w:rPr>
          <w:rStyle w:val="Hyperlink"/>
          <w:rFonts w:cs="Times New Roman"/>
          <w:color w:val="auto"/>
          <w:spacing w:val="-5"/>
          <w:szCs w:val="24"/>
          <w:u w:val="none"/>
          <w:shd w:val="clear" w:color="auto" w:fill="FFFFFF"/>
        </w:rPr>
      </w:pPr>
      <w:r w:rsidRPr="008F7D40">
        <w:rPr>
          <w:rFonts w:cs="Times New Roman"/>
          <w:spacing w:val="-5"/>
          <w:szCs w:val="24"/>
          <w:shd w:val="clear" w:color="auto" w:fill="FFFFFF"/>
        </w:rPr>
        <w:t>Ocaña-Riola, R., &amp; Sánchez-Cantalejo, C. (2005). Rurality Index for Small Areas in Spain. </w:t>
      </w:r>
      <w:r w:rsidRPr="008F7D40">
        <w:rPr>
          <w:rFonts w:cs="Times New Roman"/>
          <w:i/>
          <w:iCs/>
          <w:spacing w:val="-5"/>
          <w:szCs w:val="24"/>
          <w:shd w:val="clear" w:color="auto" w:fill="FFFFFF"/>
        </w:rPr>
        <w:t>Social Indicators Research,</w:t>
      </w:r>
      <w:r w:rsidRPr="008F7D40">
        <w:rPr>
          <w:rFonts w:cs="Times New Roman"/>
          <w:spacing w:val="-5"/>
          <w:szCs w:val="24"/>
          <w:shd w:val="clear" w:color="auto" w:fill="FFFFFF"/>
        </w:rPr>
        <w:t> </w:t>
      </w:r>
      <w:r w:rsidRPr="008F7D40">
        <w:rPr>
          <w:rFonts w:cs="Times New Roman"/>
          <w:i/>
          <w:iCs/>
          <w:spacing w:val="-5"/>
          <w:szCs w:val="24"/>
          <w:shd w:val="clear" w:color="auto" w:fill="FFFFFF"/>
        </w:rPr>
        <w:t>73</w:t>
      </w:r>
      <w:r w:rsidRPr="008F7D40">
        <w:rPr>
          <w:rFonts w:cs="Times New Roman"/>
          <w:spacing w:val="-5"/>
          <w:szCs w:val="24"/>
          <w:shd w:val="clear" w:color="auto" w:fill="FFFFFF"/>
        </w:rPr>
        <w:t xml:space="preserve">(2), 247-266. Retrieved March 24, 2021, from </w:t>
      </w:r>
      <w:hyperlink r:id="rId29" w:history="1">
        <w:r w:rsidRPr="008F7D40">
          <w:rPr>
            <w:rStyle w:val="Hyperlink"/>
            <w:rFonts w:cs="Times New Roman"/>
            <w:color w:val="auto"/>
            <w:spacing w:val="-5"/>
            <w:szCs w:val="24"/>
            <w:u w:val="none"/>
            <w:shd w:val="clear" w:color="auto" w:fill="FFFFFF"/>
          </w:rPr>
          <w:t>http://www.jstor.org/stable/27522223</w:t>
        </w:r>
      </w:hyperlink>
    </w:p>
    <w:p w:rsidR="008F7D40" w:rsidRPr="008F7D40" w:rsidRDefault="008F7D40" w:rsidP="008F7D40">
      <w:pPr>
        <w:spacing w:line="240" w:lineRule="auto"/>
        <w:rPr>
          <w:rStyle w:val="Hyperlink"/>
          <w:rFonts w:cs="Times New Roman"/>
          <w:color w:val="auto"/>
          <w:szCs w:val="24"/>
          <w:u w:val="none"/>
        </w:rPr>
      </w:pPr>
      <w:r w:rsidRPr="008F7D40">
        <w:rPr>
          <w:rStyle w:val="Hyperlink"/>
          <w:rFonts w:cs="Times New Roman"/>
          <w:color w:val="auto"/>
          <w:spacing w:val="-5"/>
          <w:szCs w:val="24"/>
          <w:u w:val="none"/>
          <w:shd w:val="clear" w:color="auto" w:fill="FFFFFF"/>
        </w:rPr>
        <w:t xml:space="preserve">Opiyo, F.E., Wasonga, O.V. &amp; Nyangito, M.M. (2014). Measuring household vulnerability to climate-induced stresses in pastoral rangelands of Kenya: Implications for resilience programming. </w:t>
      </w:r>
      <w:r w:rsidRPr="008F7D40">
        <w:rPr>
          <w:rStyle w:val="Hyperlink"/>
          <w:rFonts w:cs="Times New Roman"/>
          <w:i/>
          <w:color w:val="auto"/>
          <w:spacing w:val="-5"/>
          <w:szCs w:val="24"/>
          <w:u w:val="none"/>
          <w:shd w:val="clear" w:color="auto" w:fill="FFFFFF"/>
        </w:rPr>
        <w:t>Pastoralism, 4</w:t>
      </w:r>
      <w:r w:rsidRPr="008F7D40">
        <w:rPr>
          <w:rStyle w:val="Hyperlink"/>
          <w:rFonts w:cs="Times New Roman"/>
          <w:color w:val="auto"/>
          <w:spacing w:val="-5"/>
          <w:szCs w:val="24"/>
          <w:u w:val="none"/>
          <w:shd w:val="clear" w:color="auto" w:fill="FFFFFF"/>
        </w:rPr>
        <w:t>, 10. doi:</w:t>
      </w:r>
      <w:r w:rsidRPr="008F7D40">
        <w:rPr>
          <w:rStyle w:val="Hyperlink"/>
          <w:rFonts w:cs="Times New Roman"/>
          <w:color w:val="auto"/>
          <w:spacing w:val="-5"/>
          <w:szCs w:val="24"/>
          <w:u w:val="none"/>
        </w:rPr>
        <w:t xml:space="preserve"> </w:t>
      </w:r>
      <w:hyperlink r:id="rId30" w:history="1">
        <w:r w:rsidRPr="008F7D40">
          <w:rPr>
            <w:rStyle w:val="Hyperlink"/>
            <w:rFonts w:cs="Times New Roman"/>
            <w:color w:val="auto"/>
            <w:szCs w:val="24"/>
            <w:u w:val="none"/>
          </w:rPr>
          <w:t>https://doi.org/10.1186/s13570-014-0010-9</w:t>
        </w:r>
      </w:hyperlink>
    </w:p>
    <w:p w:rsidR="008F7D40" w:rsidRPr="008F7D40" w:rsidRDefault="008F7D40" w:rsidP="008F7D40">
      <w:pPr>
        <w:spacing w:line="240" w:lineRule="auto"/>
        <w:rPr>
          <w:rStyle w:val="Hyperlink"/>
          <w:rFonts w:cs="Times New Roman"/>
          <w:color w:val="auto"/>
          <w:spacing w:val="-5"/>
          <w:szCs w:val="24"/>
          <w:u w:val="none"/>
          <w:shd w:val="clear" w:color="auto" w:fill="FFFFFF"/>
        </w:rPr>
      </w:pPr>
      <w:r w:rsidRPr="008F7D40">
        <w:rPr>
          <w:rStyle w:val="Hyperlink"/>
          <w:rFonts w:cs="Times New Roman"/>
          <w:color w:val="auto"/>
          <w:spacing w:val="-5"/>
          <w:szCs w:val="24"/>
          <w:u w:val="none"/>
          <w:shd w:val="clear" w:color="auto" w:fill="FFFFFF"/>
        </w:rPr>
        <w:lastRenderedPageBreak/>
        <w:t xml:space="preserve">Pacione, M. (1984). </w:t>
      </w:r>
      <w:r w:rsidRPr="008F7D40">
        <w:rPr>
          <w:rStyle w:val="Hyperlink"/>
          <w:rFonts w:cs="Times New Roman"/>
          <w:i/>
          <w:color w:val="auto"/>
          <w:spacing w:val="-5"/>
          <w:szCs w:val="24"/>
          <w:u w:val="none"/>
          <w:shd w:val="clear" w:color="auto" w:fill="FFFFFF"/>
        </w:rPr>
        <w:t>Rural Geography</w:t>
      </w:r>
      <w:r w:rsidRPr="008F7D40">
        <w:rPr>
          <w:rStyle w:val="Hyperlink"/>
          <w:rFonts w:cs="Times New Roman"/>
          <w:color w:val="auto"/>
          <w:spacing w:val="-5"/>
          <w:szCs w:val="24"/>
          <w:u w:val="none"/>
          <w:shd w:val="clear" w:color="auto" w:fill="FFFFFF"/>
        </w:rPr>
        <w:t xml:space="preserve">. London: Harper and Row.  </w:t>
      </w:r>
      <w:r w:rsidRPr="008F7D40">
        <w:rPr>
          <w:rStyle w:val="Hyperlink"/>
          <w:rFonts w:cs="Times New Roman"/>
          <w:color w:val="auto"/>
          <w:spacing w:val="-5"/>
          <w:szCs w:val="24"/>
          <w:u w:val="none"/>
          <w:shd w:val="clear" w:color="auto" w:fill="FFFFFF"/>
        </w:rPr>
        <w:tab/>
      </w:r>
    </w:p>
    <w:p w:rsidR="008F7D40" w:rsidRPr="008F7D40" w:rsidRDefault="008F7D40" w:rsidP="008F7D40">
      <w:pPr>
        <w:spacing w:line="240" w:lineRule="auto"/>
        <w:rPr>
          <w:rStyle w:val="Hyperlink"/>
          <w:rFonts w:cs="Times New Roman"/>
          <w:color w:val="auto"/>
          <w:spacing w:val="-5"/>
          <w:szCs w:val="24"/>
          <w:u w:val="none"/>
          <w:shd w:val="clear" w:color="auto" w:fill="FFFFFF"/>
        </w:rPr>
      </w:pPr>
      <w:r w:rsidRPr="008F7D40">
        <w:rPr>
          <w:rStyle w:val="Hyperlink"/>
          <w:rFonts w:cs="Times New Roman"/>
          <w:color w:val="auto"/>
          <w:spacing w:val="-5"/>
          <w:szCs w:val="24"/>
          <w:u w:val="none"/>
          <w:shd w:val="clear" w:color="auto" w:fill="FFFFFF"/>
        </w:rPr>
        <w:t xml:space="preserve">Pérez-Yruela, M. (1990). </w:t>
      </w:r>
      <w:r w:rsidRPr="008F7D40">
        <w:rPr>
          <w:rStyle w:val="Hyperlink"/>
          <w:rFonts w:cs="Times New Roman"/>
          <w:i/>
          <w:color w:val="auto"/>
          <w:spacing w:val="-5"/>
          <w:szCs w:val="24"/>
          <w:u w:val="none"/>
          <w:shd w:val="clear" w:color="auto" w:fill="FFFFFF"/>
        </w:rPr>
        <w:t>España: Sociedad y política</w:t>
      </w:r>
      <w:r w:rsidRPr="008F7D40">
        <w:rPr>
          <w:rStyle w:val="Hyperlink"/>
          <w:rFonts w:cs="Times New Roman"/>
          <w:color w:val="auto"/>
          <w:spacing w:val="-5"/>
          <w:szCs w:val="24"/>
          <w:u w:val="none"/>
          <w:shd w:val="clear" w:color="auto" w:fill="FFFFFF"/>
        </w:rPr>
        <w:t>. Espasa Calpe, Madrid.</w:t>
      </w:r>
    </w:p>
    <w:p w:rsidR="008F7D40" w:rsidRPr="008F7D40" w:rsidRDefault="008F7D40" w:rsidP="008F7D40">
      <w:pPr>
        <w:spacing w:line="240" w:lineRule="auto"/>
        <w:rPr>
          <w:rStyle w:val="Hyperlink"/>
          <w:rFonts w:cs="Times New Roman"/>
          <w:color w:val="auto"/>
          <w:spacing w:val="-5"/>
          <w:szCs w:val="24"/>
          <w:u w:val="none"/>
          <w:shd w:val="clear" w:color="auto" w:fill="FFFFFF"/>
        </w:rPr>
      </w:pPr>
      <w:r w:rsidRPr="008F7D40">
        <w:rPr>
          <w:rStyle w:val="Hyperlink"/>
          <w:rFonts w:cs="Times New Roman"/>
          <w:color w:val="auto"/>
          <w:spacing w:val="-5"/>
          <w:szCs w:val="24"/>
          <w:u w:val="none"/>
          <w:shd w:val="clear" w:color="auto" w:fill="FFFFFF"/>
        </w:rPr>
        <w:t xml:space="preserve">Phillips, D &amp; Williams, A. (1984). </w:t>
      </w:r>
      <w:r w:rsidRPr="008F7D40">
        <w:rPr>
          <w:rStyle w:val="Hyperlink"/>
          <w:rFonts w:cs="Times New Roman"/>
          <w:i/>
          <w:color w:val="auto"/>
          <w:spacing w:val="-5"/>
          <w:szCs w:val="24"/>
          <w:u w:val="none"/>
          <w:shd w:val="clear" w:color="auto" w:fill="FFFFFF"/>
        </w:rPr>
        <w:t>Rural Britain: A social Geography</w:t>
      </w:r>
      <w:r w:rsidRPr="008F7D40">
        <w:rPr>
          <w:rStyle w:val="Hyperlink"/>
          <w:rFonts w:cs="Times New Roman"/>
          <w:color w:val="auto"/>
          <w:spacing w:val="-5"/>
          <w:szCs w:val="24"/>
          <w:u w:val="none"/>
          <w:shd w:val="clear" w:color="auto" w:fill="FFFFFF"/>
        </w:rPr>
        <w:t>. Oxford: Basil Black-well.</w:t>
      </w:r>
    </w:p>
    <w:p w:rsidR="008F7D40" w:rsidRPr="008F7D40" w:rsidRDefault="008F7D40" w:rsidP="008F7D40">
      <w:pPr>
        <w:spacing w:line="240" w:lineRule="auto"/>
        <w:rPr>
          <w:rStyle w:val="Hyperlink"/>
          <w:rFonts w:cs="Times New Roman"/>
          <w:color w:val="auto"/>
          <w:spacing w:val="-5"/>
          <w:szCs w:val="24"/>
          <w:u w:val="none"/>
          <w:shd w:val="clear" w:color="auto" w:fill="FFFFFF"/>
        </w:rPr>
      </w:pPr>
      <w:r w:rsidRPr="008F7D40">
        <w:rPr>
          <w:rStyle w:val="Hyperlink"/>
          <w:rFonts w:cs="Times New Roman"/>
          <w:color w:val="auto"/>
          <w:spacing w:val="-5"/>
          <w:szCs w:val="24"/>
          <w:u w:val="none"/>
          <w:shd w:val="clear" w:color="auto" w:fill="FFFFFF"/>
        </w:rPr>
        <w:t xml:space="preserve">Phong, L.H. (2015). The relationship between rivers and cities: influences of urbanization on the riverine zones- a case study of Red River zones in Hanoi, Vietnam. </w:t>
      </w:r>
      <w:r w:rsidRPr="008F7D40">
        <w:rPr>
          <w:rStyle w:val="Hyperlink"/>
          <w:rFonts w:cs="Times New Roman"/>
          <w:i/>
          <w:color w:val="auto"/>
          <w:spacing w:val="-5"/>
          <w:szCs w:val="24"/>
          <w:u w:val="none"/>
          <w:shd w:val="clear" w:color="auto" w:fill="FFFFFF"/>
        </w:rPr>
        <w:t>Witpress, 193</w:t>
      </w:r>
      <w:r w:rsidRPr="008F7D40">
        <w:rPr>
          <w:rStyle w:val="Hyperlink"/>
          <w:rFonts w:cs="Times New Roman"/>
          <w:color w:val="auto"/>
          <w:spacing w:val="-5"/>
          <w:szCs w:val="24"/>
          <w:u w:val="none"/>
          <w:shd w:val="clear" w:color="auto" w:fill="FFFFFF"/>
        </w:rPr>
        <w:t xml:space="preserve">, 27-43. doi: </w:t>
      </w:r>
      <w:r w:rsidRPr="008F7D40">
        <w:rPr>
          <w:rFonts w:cs="Times New Roman"/>
          <w:bCs/>
          <w:szCs w:val="24"/>
          <w:shd w:val="clear" w:color="auto" w:fill="FFFFFF"/>
        </w:rPr>
        <w:t>10.2495/SDP150031</w:t>
      </w:r>
    </w:p>
    <w:p w:rsidR="008F7D40" w:rsidRPr="008F7D40" w:rsidRDefault="008F7D40" w:rsidP="008F7D40">
      <w:pPr>
        <w:spacing w:line="240" w:lineRule="auto"/>
        <w:rPr>
          <w:rStyle w:val="Hyperlink"/>
          <w:rFonts w:cs="Times New Roman"/>
          <w:color w:val="auto"/>
          <w:spacing w:val="-5"/>
          <w:szCs w:val="24"/>
          <w:u w:val="none"/>
          <w:shd w:val="clear" w:color="auto" w:fill="FFFFFF"/>
        </w:rPr>
      </w:pPr>
      <w:r w:rsidRPr="008F7D40">
        <w:rPr>
          <w:rStyle w:val="Hyperlink"/>
          <w:rFonts w:cs="Times New Roman"/>
          <w:color w:val="auto"/>
          <w:spacing w:val="-5"/>
          <w:szCs w:val="24"/>
          <w:u w:val="none"/>
          <w:shd w:val="clear" w:color="auto" w:fill="FFFFFF"/>
        </w:rPr>
        <w:t xml:space="preserve">Redfield, R. (1941). </w:t>
      </w:r>
      <w:r w:rsidRPr="008F7D40">
        <w:rPr>
          <w:rStyle w:val="Hyperlink"/>
          <w:rFonts w:cs="Times New Roman"/>
          <w:i/>
          <w:color w:val="auto"/>
          <w:spacing w:val="-5"/>
          <w:szCs w:val="24"/>
          <w:u w:val="none"/>
          <w:shd w:val="clear" w:color="auto" w:fill="FFFFFF"/>
        </w:rPr>
        <w:t>The folk culture of Yucatan.</w:t>
      </w:r>
      <w:r w:rsidRPr="008F7D40">
        <w:rPr>
          <w:rStyle w:val="Hyperlink"/>
          <w:rFonts w:cs="Times New Roman"/>
          <w:color w:val="auto"/>
          <w:spacing w:val="-5"/>
          <w:szCs w:val="24"/>
          <w:u w:val="none"/>
          <w:shd w:val="clear" w:color="auto" w:fill="FFFFFF"/>
        </w:rPr>
        <w:t xml:space="preserve"> University of Chicago Press, Chicago.</w:t>
      </w:r>
    </w:p>
    <w:p w:rsidR="008F7D40" w:rsidRPr="008F7D40" w:rsidRDefault="008F7D40" w:rsidP="008F7D40">
      <w:pPr>
        <w:spacing w:line="240" w:lineRule="auto"/>
        <w:rPr>
          <w:rStyle w:val="Hyperlink"/>
          <w:rFonts w:cs="Times New Roman"/>
          <w:color w:val="auto"/>
          <w:spacing w:val="-5"/>
          <w:szCs w:val="24"/>
          <w:u w:val="none"/>
          <w:shd w:val="clear" w:color="auto" w:fill="FFFFFF"/>
        </w:rPr>
      </w:pPr>
      <w:r w:rsidRPr="008F7D40">
        <w:rPr>
          <w:rStyle w:val="Hyperlink"/>
          <w:rFonts w:cs="Times New Roman"/>
          <w:color w:val="auto"/>
          <w:spacing w:val="-5"/>
          <w:szCs w:val="24"/>
          <w:u w:val="none"/>
          <w:shd w:val="clear" w:color="auto" w:fill="FFFFFF"/>
        </w:rPr>
        <w:t xml:space="preserve">United Nations Development Programme (UNDP). (2007). </w:t>
      </w:r>
      <w:r w:rsidRPr="008F7D40">
        <w:rPr>
          <w:rStyle w:val="Hyperlink"/>
          <w:rFonts w:cs="Times New Roman"/>
          <w:i/>
          <w:color w:val="auto"/>
          <w:spacing w:val="-5"/>
          <w:szCs w:val="24"/>
          <w:u w:val="none"/>
          <w:shd w:val="clear" w:color="auto" w:fill="FFFFFF"/>
        </w:rPr>
        <w:t>Human Development Report</w:t>
      </w:r>
      <w:r w:rsidRPr="008F7D40">
        <w:rPr>
          <w:rStyle w:val="Hyperlink"/>
          <w:rFonts w:cs="Times New Roman"/>
          <w:color w:val="auto"/>
          <w:spacing w:val="-5"/>
          <w:szCs w:val="24"/>
          <w:u w:val="none"/>
          <w:shd w:val="clear" w:color="auto" w:fill="FFFFFF"/>
        </w:rPr>
        <w:t xml:space="preserve">. Retrieved March 8, 2021, from http://hdr.undp.org/en/content/human-development-report-20078   </w:t>
      </w:r>
    </w:p>
    <w:p w:rsidR="008F7D40" w:rsidRPr="008F7D40" w:rsidRDefault="008F7D40" w:rsidP="008F7D40">
      <w:pPr>
        <w:spacing w:line="240" w:lineRule="auto"/>
        <w:rPr>
          <w:rStyle w:val="Hyperlink"/>
          <w:rFonts w:cs="Times New Roman"/>
          <w:color w:val="auto"/>
          <w:szCs w:val="24"/>
          <w:u w:val="none"/>
          <w:shd w:val="clear" w:color="auto" w:fill="FFFFFF"/>
        </w:rPr>
      </w:pPr>
      <w:r w:rsidRPr="008F7D40">
        <w:rPr>
          <w:rStyle w:val="Hyperlink"/>
          <w:rFonts w:cs="Times New Roman"/>
          <w:color w:val="auto"/>
          <w:spacing w:val="-5"/>
          <w:szCs w:val="24"/>
          <w:u w:val="none"/>
          <w:shd w:val="clear" w:color="auto" w:fill="FFFFFF"/>
        </w:rPr>
        <w:t xml:space="preserve">Waldorf, B.S. (2006). A Continuous Multi-Dimensional Measure of Rurality: Moving Beyond Threshold Measures. American Agricultural Economics Association, Annual Meeting, Long Island, California, July 24-27, 2006. doi: </w:t>
      </w:r>
      <w:hyperlink r:id="rId31" w:tgtFrame="_blank" w:tooltip="DOI" w:history="1">
        <w:r w:rsidRPr="008F7D40">
          <w:rPr>
            <w:rStyle w:val="Hyperlink"/>
            <w:rFonts w:cs="Times New Roman"/>
            <w:color w:val="auto"/>
            <w:szCs w:val="24"/>
            <w:u w:val="none"/>
            <w:shd w:val="clear" w:color="auto" w:fill="FFFFFF"/>
          </w:rPr>
          <w:t>10.22004/ag.econ.21383</w:t>
        </w:r>
      </w:hyperlink>
    </w:p>
    <w:p w:rsidR="008F7D40" w:rsidRPr="008F7D40" w:rsidRDefault="008F7D40" w:rsidP="008F7D40">
      <w:pPr>
        <w:spacing w:line="240" w:lineRule="auto"/>
        <w:rPr>
          <w:rStyle w:val="Hyperlink"/>
          <w:rFonts w:cs="Times New Roman"/>
          <w:color w:val="auto"/>
          <w:spacing w:val="-5"/>
          <w:szCs w:val="24"/>
          <w:u w:val="none"/>
          <w:shd w:val="clear" w:color="auto" w:fill="FFFFFF"/>
        </w:rPr>
      </w:pPr>
      <w:r w:rsidRPr="008F7D40">
        <w:rPr>
          <w:rStyle w:val="Hyperlink"/>
          <w:rFonts w:cs="Times New Roman"/>
          <w:color w:val="auto"/>
          <w:szCs w:val="24"/>
          <w:u w:val="none"/>
          <w:shd w:val="clear" w:color="auto" w:fill="FFFFFF"/>
        </w:rPr>
        <w:t xml:space="preserve">Wallace, A.E., Lee, R., Mackenzie, T.A &amp; West, A.N. (2010). A longitudinal analysis of rural and urban veterans’ health-related quality of life. </w:t>
      </w:r>
      <w:r w:rsidRPr="008F7D40">
        <w:rPr>
          <w:rStyle w:val="Hyperlink"/>
          <w:rFonts w:cs="Times New Roman"/>
          <w:i/>
          <w:color w:val="auto"/>
          <w:szCs w:val="24"/>
          <w:u w:val="none"/>
          <w:shd w:val="clear" w:color="auto" w:fill="FFFFFF"/>
        </w:rPr>
        <w:t>Journal of Rural Health, 26</w:t>
      </w:r>
      <w:r w:rsidRPr="008F7D40">
        <w:rPr>
          <w:rStyle w:val="Hyperlink"/>
          <w:rFonts w:cs="Times New Roman"/>
          <w:color w:val="auto"/>
          <w:szCs w:val="24"/>
          <w:u w:val="none"/>
          <w:shd w:val="clear" w:color="auto" w:fill="FFFFFF"/>
        </w:rPr>
        <w:t xml:space="preserve">(2), 156-163. doi: </w:t>
      </w:r>
      <w:r w:rsidRPr="008F7D40">
        <w:rPr>
          <w:rFonts w:cs="Times New Roman"/>
          <w:szCs w:val="24"/>
          <w:shd w:val="clear" w:color="auto" w:fill="FFFFFF"/>
        </w:rPr>
        <w:t>10.1111/j.1748-0361.2010.00277. x.</w:t>
      </w:r>
    </w:p>
    <w:p w:rsidR="008F7D40" w:rsidRPr="008F7D40" w:rsidRDefault="008F7D40" w:rsidP="008F7D40">
      <w:pPr>
        <w:spacing w:before="100" w:beforeAutospacing="1" w:after="100" w:afterAutospacing="1" w:line="240" w:lineRule="auto"/>
        <w:rPr>
          <w:rStyle w:val="Hyperlink"/>
          <w:rFonts w:cs="Times New Roman"/>
          <w:color w:val="auto"/>
          <w:szCs w:val="24"/>
          <w:u w:val="none"/>
        </w:rPr>
      </w:pPr>
      <w:r w:rsidRPr="008F7D40">
        <w:rPr>
          <w:rStyle w:val="identifier"/>
          <w:rFonts w:cs="Times New Roman"/>
          <w:szCs w:val="24"/>
        </w:rPr>
        <w:t xml:space="preserve">Watt, I.S. &amp; Sheldon, T.A. (1993). Rurality and resource allocation in the UK. </w:t>
      </w:r>
      <w:r w:rsidRPr="008F7D40">
        <w:rPr>
          <w:rStyle w:val="identifier"/>
          <w:rFonts w:cs="Times New Roman"/>
          <w:i/>
          <w:szCs w:val="24"/>
        </w:rPr>
        <w:t>Health Policy, 26</w:t>
      </w:r>
      <w:r w:rsidRPr="008F7D40">
        <w:rPr>
          <w:rStyle w:val="identifier"/>
          <w:rFonts w:cs="Times New Roman"/>
          <w:szCs w:val="24"/>
        </w:rPr>
        <w:t xml:space="preserve">(1), 19-27. doi: </w:t>
      </w:r>
      <w:hyperlink r:id="rId32" w:history="1">
        <w:r w:rsidRPr="008F7D40">
          <w:rPr>
            <w:rStyle w:val="Hyperlink"/>
            <w:rFonts w:cs="Times New Roman"/>
            <w:color w:val="auto"/>
            <w:szCs w:val="24"/>
            <w:u w:val="none"/>
          </w:rPr>
          <w:t>https://doi.org/10.1016/0168-8510(93)90075-Z</w:t>
        </w:r>
      </w:hyperlink>
    </w:p>
    <w:p w:rsidR="008F7D40" w:rsidRPr="008F7D40" w:rsidRDefault="008F7D40" w:rsidP="008F7D40">
      <w:pPr>
        <w:spacing w:before="100" w:beforeAutospacing="1" w:after="100" w:afterAutospacing="1" w:line="240" w:lineRule="auto"/>
        <w:rPr>
          <w:rStyle w:val="Hyperlink"/>
          <w:rFonts w:cs="Times New Roman"/>
          <w:color w:val="auto"/>
          <w:szCs w:val="24"/>
          <w:u w:val="none"/>
        </w:rPr>
      </w:pPr>
      <w:r w:rsidRPr="008F7D40">
        <w:rPr>
          <w:rStyle w:val="Hyperlink"/>
          <w:rFonts w:cs="Times New Roman"/>
          <w:color w:val="auto"/>
          <w:szCs w:val="24"/>
          <w:u w:val="none"/>
        </w:rPr>
        <w:t xml:space="preserve">Woods, M. (2009). Rural geography: blurring boundaries and making connections. </w:t>
      </w:r>
      <w:r w:rsidRPr="008F7D40">
        <w:rPr>
          <w:rStyle w:val="Hyperlink"/>
          <w:rFonts w:cs="Times New Roman"/>
          <w:i/>
          <w:color w:val="auto"/>
          <w:szCs w:val="24"/>
          <w:u w:val="none"/>
        </w:rPr>
        <w:t>Progress in Human Geography, 33</w:t>
      </w:r>
      <w:r w:rsidRPr="008F7D40">
        <w:rPr>
          <w:rStyle w:val="Hyperlink"/>
          <w:rFonts w:cs="Times New Roman"/>
          <w:color w:val="auto"/>
          <w:szCs w:val="24"/>
          <w:u w:val="none"/>
        </w:rPr>
        <w:t>(6), 849-858. doi:</w:t>
      </w:r>
      <w:r w:rsidRPr="008F7D40">
        <w:rPr>
          <w:rFonts w:cs="Times New Roman"/>
          <w:szCs w:val="24"/>
        </w:rPr>
        <w:t>10.1177/0309132508105001</w:t>
      </w:r>
      <w:r w:rsidRPr="008F7D40">
        <w:rPr>
          <w:rStyle w:val="Hyperlink"/>
          <w:rFonts w:cs="Times New Roman"/>
          <w:color w:val="auto"/>
          <w:szCs w:val="24"/>
          <w:u w:val="none"/>
        </w:rPr>
        <w:t xml:space="preserve"> </w:t>
      </w:r>
    </w:p>
    <w:p w:rsidR="008F7D40" w:rsidRPr="008F7D40" w:rsidRDefault="008F7D40" w:rsidP="008F7D40">
      <w:pPr>
        <w:spacing w:before="100" w:beforeAutospacing="1" w:after="100" w:afterAutospacing="1" w:line="240" w:lineRule="auto"/>
        <w:rPr>
          <w:rStyle w:val="Hyperlink"/>
          <w:rFonts w:cs="Times New Roman"/>
          <w:color w:val="auto"/>
          <w:szCs w:val="24"/>
          <w:u w:val="none"/>
        </w:rPr>
      </w:pPr>
      <w:r w:rsidRPr="008F7D40">
        <w:rPr>
          <w:rStyle w:val="Hyperlink"/>
          <w:rFonts w:cs="Times New Roman"/>
          <w:color w:val="auto"/>
          <w:szCs w:val="24"/>
          <w:u w:val="none"/>
        </w:rPr>
        <w:t xml:space="preserve">Zhang, P., Tao, G. &amp; Irwin, K.L. (2000). Utilization of preventive medical services in the United States: a comparison between rural and urban populations. </w:t>
      </w:r>
      <w:r w:rsidRPr="008F7D40">
        <w:rPr>
          <w:rStyle w:val="Hyperlink"/>
          <w:rFonts w:cs="Times New Roman"/>
          <w:i/>
          <w:color w:val="auto"/>
          <w:szCs w:val="24"/>
          <w:u w:val="none"/>
        </w:rPr>
        <w:t>Journal of Rural Health, 16</w:t>
      </w:r>
      <w:r w:rsidRPr="008F7D40">
        <w:rPr>
          <w:rStyle w:val="Hyperlink"/>
          <w:rFonts w:cs="Times New Roman"/>
          <w:color w:val="auto"/>
          <w:szCs w:val="24"/>
          <w:u w:val="none"/>
        </w:rPr>
        <w:t xml:space="preserve">(4), 349-356. </w:t>
      </w:r>
    </w:p>
    <w:p w:rsidR="008F7D40" w:rsidRPr="008F7D40" w:rsidRDefault="008F7D40" w:rsidP="008F7D40"/>
    <w:p w:rsidR="008F60EA" w:rsidRPr="008F60EA" w:rsidRDefault="008F60EA" w:rsidP="008F60EA"/>
    <w:p w:rsidR="00F00BBA" w:rsidRDefault="00F00BBA" w:rsidP="003A5A80"/>
    <w:p w:rsidR="00EC1F72" w:rsidRDefault="000D071A" w:rsidP="003A5A80">
      <w:r>
        <w:t xml:space="preserve"> </w:t>
      </w:r>
      <w:r w:rsidR="008C5A53">
        <w:t xml:space="preserve"> </w:t>
      </w:r>
      <w:r w:rsidR="00A01E5A">
        <w:t xml:space="preserve"> </w:t>
      </w:r>
      <w:r w:rsidR="00692EDB">
        <w:t xml:space="preserve"> </w:t>
      </w:r>
      <w:r w:rsidR="00CA6FD3">
        <w:t xml:space="preserve"> </w:t>
      </w:r>
      <w:r w:rsidR="00F44D5B">
        <w:t xml:space="preserve"> </w:t>
      </w:r>
      <w:r w:rsidR="001F502D">
        <w:t xml:space="preserve"> </w:t>
      </w:r>
      <w:r w:rsidR="005C4CE2">
        <w:t xml:space="preserve"> </w:t>
      </w:r>
      <w:r w:rsidR="000C3D18">
        <w:t xml:space="preserve"> </w:t>
      </w:r>
      <w:r w:rsidR="00574E52">
        <w:t xml:space="preserve"> </w:t>
      </w:r>
      <w:r w:rsidR="00C83F3D">
        <w:t xml:space="preserve"> </w:t>
      </w:r>
      <w:r w:rsidR="00BE7C1B">
        <w:t xml:space="preserve"> </w:t>
      </w:r>
    </w:p>
    <w:p w:rsidR="0034030B" w:rsidRPr="008F7D40" w:rsidRDefault="0034030B" w:rsidP="008F7D40">
      <w:bookmarkStart w:id="12" w:name="_Figure_4:_Rurality"/>
      <w:bookmarkEnd w:id="12"/>
    </w:p>
    <w:sectPr w:rsidR="0034030B" w:rsidRPr="008F7D40" w:rsidSect="001E11D0">
      <w:footerReference w:type="default" r:id="rId33"/>
      <w:pgSz w:w="11909" w:h="16834" w:code="9"/>
      <w:pgMar w:top="1872" w:right="1872" w:bottom="1872" w:left="1872"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1EE2" w:rsidRDefault="008B1EE2" w:rsidP="001E11D0">
      <w:pPr>
        <w:spacing w:after="0" w:line="240" w:lineRule="auto"/>
      </w:pPr>
      <w:r>
        <w:separator/>
      </w:r>
    </w:p>
  </w:endnote>
  <w:endnote w:type="continuationSeparator" w:id="0">
    <w:p w:rsidR="008B1EE2" w:rsidRDefault="008B1EE2" w:rsidP="001E11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1257293"/>
      <w:docPartObj>
        <w:docPartGallery w:val="Page Numbers (Bottom of Page)"/>
        <w:docPartUnique/>
      </w:docPartObj>
    </w:sdtPr>
    <w:sdtEndPr>
      <w:rPr>
        <w:noProof/>
      </w:rPr>
    </w:sdtEndPr>
    <w:sdtContent>
      <w:p w:rsidR="00C4740B" w:rsidRDefault="00C4740B">
        <w:pPr>
          <w:pStyle w:val="Footer"/>
          <w:jc w:val="center"/>
        </w:pPr>
        <w:r>
          <w:fldChar w:fldCharType="begin"/>
        </w:r>
        <w:r>
          <w:instrText xml:space="preserve"> PAGE   \* MERGEFORMAT </w:instrText>
        </w:r>
        <w:r>
          <w:fldChar w:fldCharType="separate"/>
        </w:r>
        <w:r w:rsidR="00A875C5">
          <w:rPr>
            <w:noProof/>
          </w:rPr>
          <w:t>14</w:t>
        </w:r>
        <w:r>
          <w:rPr>
            <w:noProof/>
          </w:rPr>
          <w:fldChar w:fldCharType="end"/>
        </w:r>
      </w:p>
    </w:sdtContent>
  </w:sdt>
  <w:p w:rsidR="00C4740B" w:rsidRDefault="00C4740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1EE2" w:rsidRDefault="008B1EE2" w:rsidP="001E11D0">
      <w:pPr>
        <w:spacing w:after="0" w:line="240" w:lineRule="auto"/>
      </w:pPr>
      <w:r>
        <w:separator/>
      </w:r>
    </w:p>
  </w:footnote>
  <w:footnote w:type="continuationSeparator" w:id="0">
    <w:p w:rsidR="008B1EE2" w:rsidRDefault="008B1EE2" w:rsidP="001E11D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8F2B82"/>
    <w:multiLevelType w:val="multilevel"/>
    <w:tmpl w:val="7500DCB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ascii="Times New Roman" w:hAnsi="Times New Roman" w:cs="Times New Roman" w:hint="default"/>
        <w:color w:val="auto"/>
        <w:sz w:val="24"/>
        <w:szCs w:val="24"/>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1B262EAA"/>
    <w:multiLevelType w:val="hybridMultilevel"/>
    <w:tmpl w:val="CDA480D2"/>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EA4166F"/>
    <w:multiLevelType w:val="multilevel"/>
    <w:tmpl w:val="676ACB24"/>
    <w:lvl w:ilvl="0">
      <w:start w:val="3"/>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ascii="Times New Roman" w:hAnsi="Times New Roman" w:cs="Times New Roman" w:hint="default"/>
        <w:color w:val="auto"/>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3A7E3490"/>
    <w:multiLevelType w:val="multilevel"/>
    <w:tmpl w:val="91469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0D0F94"/>
    <w:multiLevelType w:val="hybridMultilevel"/>
    <w:tmpl w:val="3C061636"/>
    <w:lvl w:ilvl="0" w:tplc="441663D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55F60558"/>
    <w:multiLevelType w:val="hybridMultilevel"/>
    <w:tmpl w:val="7D6616F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5842342C"/>
    <w:multiLevelType w:val="multilevel"/>
    <w:tmpl w:val="5D587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D6B1164"/>
    <w:multiLevelType w:val="hybridMultilevel"/>
    <w:tmpl w:val="A994306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7"/>
  </w:num>
  <w:num w:numId="2">
    <w:abstractNumId w:val="0"/>
  </w:num>
  <w:num w:numId="3">
    <w:abstractNumId w:val="3"/>
  </w:num>
  <w:num w:numId="4">
    <w:abstractNumId w:val="1"/>
  </w:num>
  <w:num w:numId="5">
    <w:abstractNumId w:val="5"/>
  </w:num>
  <w:num w:numId="6">
    <w:abstractNumId w:val="6"/>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29A2"/>
    <w:rsid w:val="000004C7"/>
    <w:rsid w:val="00000FA7"/>
    <w:rsid w:val="00001723"/>
    <w:rsid w:val="00006370"/>
    <w:rsid w:val="000065E4"/>
    <w:rsid w:val="000108BA"/>
    <w:rsid w:val="00010FD5"/>
    <w:rsid w:val="000125F1"/>
    <w:rsid w:val="00013C4D"/>
    <w:rsid w:val="0001504F"/>
    <w:rsid w:val="000154C7"/>
    <w:rsid w:val="000158E5"/>
    <w:rsid w:val="00017C99"/>
    <w:rsid w:val="00017F66"/>
    <w:rsid w:val="00020DD5"/>
    <w:rsid w:val="00021295"/>
    <w:rsid w:val="00022F00"/>
    <w:rsid w:val="000233A9"/>
    <w:rsid w:val="00023B28"/>
    <w:rsid w:val="00024530"/>
    <w:rsid w:val="0002530B"/>
    <w:rsid w:val="00025650"/>
    <w:rsid w:val="00025FE2"/>
    <w:rsid w:val="00027ADC"/>
    <w:rsid w:val="00031064"/>
    <w:rsid w:val="00033787"/>
    <w:rsid w:val="0003487A"/>
    <w:rsid w:val="00034A55"/>
    <w:rsid w:val="00034CDB"/>
    <w:rsid w:val="00035BF5"/>
    <w:rsid w:val="00040E18"/>
    <w:rsid w:val="00042EE5"/>
    <w:rsid w:val="000430C7"/>
    <w:rsid w:val="000442C9"/>
    <w:rsid w:val="00045244"/>
    <w:rsid w:val="000454EF"/>
    <w:rsid w:val="00046225"/>
    <w:rsid w:val="00050696"/>
    <w:rsid w:val="00051733"/>
    <w:rsid w:val="00051FAA"/>
    <w:rsid w:val="00057718"/>
    <w:rsid w:val="000603BC"/>
    <w:rsid w:val="00060CEE"/>
    <w:rsid w:val="0006177A"/>
    <w:rsid w:val="00062320"/>
    <w:rsid w:val="000633F6"/>
    <w:rsid w:val="00070187"/>
    <w:rsid w:val="00070A68"/>
    <w:rsid w:val="00070B54"/>
    <w:rsid w:val="0007247C"/>
    <w:rsid w:val="00072BB4"/>
    <w:rsid w:val="00075E3D"/>
    <w:rsid w:val="00076458"/>
    <w:rsid w:val="000801C9"/>
    <w:rsid w:val="000808D1"/>
    <w:rsid w:val="00081C47"/>
    <w:rsid w:val="000826AA"/>
    <w:rsid w:val="00086726"/>
    <w:rsid w:val="0008704C"/>
    <w:rsid w:val="000876AC"/>
    <w:rsid w:val="00087E51"/>
    <w:rsid w:val="00090AC0"/>
    <w:rsid w:val="000913A8"/>
    <w:rsid w:val="00093618"/>
    <w:rsid w:val="000937AD"/>
    <w:rsid w:val="00095BD9"/>
    <w:rsid w:val="000973D0"/>
    <w:rsid w:val="00097CAB"/>
    <w:rsid w:val="000A26DD"/>
    <w:rsid w:val="000A43FD"/>
    <w:rsid w:val="000A5D12"/>
    <w:rsid w:val="000A6BBB"/>
    <w:rsid w:val="000A7DEF"/>
    <w:rsid w:val="000B057A"/>
    <w:rsid w:val="000B0BE4"/>
    <w:rsid w:val="000B3C48"/>
    <w:rsid w:val="000B3FA4"/>
    <w:rsid w:val="000B495A"/>
    <w:rsid w:val="000B498A"/>
    <w:rsid w:val="000B4DEB"/>
    <w:rsid w:val="000B5031"/>
    <w:rsid w:val="000B6AE0"/>
    <w:rsid w:val="000B6FCB"/>
    <w:rsid w:val="000C0B6B"/>
    <w:rsid w:val="000C1699"/>
    <w:rsid w:val="000C174D"/>
    <w:rsid w:val="000C19BF"/>
    <w:rsid w:val="000C1D0C"/>
    <w:rsid w:val="000C32F9"/>
    <w:rsid w:val="000C3411"/>
    <w:rsid w:val="000C3D18"/>
    <w:rsid w:val="000C418D"/>
    <w:rsid w:val="000C4674"/>
    <w:rsid w:val="000C5B34"/>
    <w:rsid w:val="000C5BE7"/>
    <w:rsid w:val="000C6104"/>
    <w:rsid w:val="000C6695"/>
    <w:rsid w:val="000C7740"/>
    <w:rsid w:val="000D0706"/>
    <w:rsid w:val="000D071A"/>
    <w:rsid w:val="000D1908"/>
    <w:rsid w:val="000D1B02"/>
    <w:rsid w:val="000D1D38"/>
    <w:rsid w:val="000D1F06"/>
    <w:rsid w:val="000D3467"/>
    <w:rsid w:val="000D7569"/>
    <w:rsid w:val="000E1D47"/>
    <w:rsid w:val="000E2B78"/>
    <w:rsid w:val="000E3D66"/>
    <w:rsid w:val="000E5EC6"/>
    <w:rsid w:val="000E7ADA"/>
    <w:rsid w:val="000E7E2F"/>
    <w:rsid w:val="000F0061"/>
    <w:rsid w:val="000F0938"/>
    <w:rsid w:val="000F0C74"/>
    <w:rsid w:val="000F0DE9"/>
    <w:rsid w:val="000F18AC"/>
    <w:rsid w:val="000F3882"/>
    <w:rsid w:val="000F3FDC"/>
    <w:rsid w:val="000F606E"/>
    <w:rsid w:val="000F706C"/>
    <w:rsid w:val="000F7F86"/>
    <w:rsid w:val="0010092C"/>
    <w:rsid w:val="00101828"/>
    <w:rsid w:val="001026A1"/>
    <w:rsid w:val="00105AA9"/>
    <w:rsid w:val="0010655D"/>
    <w:rsid w:val="00106979"/>
    <w:rsid w:val="00106E68"/>
    <w:rsid w:val="00112727"/>
    <w:rsid w:val="00114D43"/>
    <w:rsid w:val="001151EB"/>
    <w:rsid w:val="0011560E"/>
    <w:rsid w:val="001159FA"/>
    <w:rsid w:val="00116096"/>
    <w:rsid w:val="00116469"/>
    <w:rsid w:val="00117EFD"/>
    <w:rsid w:val="0012076C"/>
    <w:rsid w:val="00120BBF"/>
    <w:rsid w:val="0012103F"/>
    <w:rsid w:val="001225BC"/>
    <w:rsid w:val="00122914"/>
    <w:rsid w:val="001232C4"/>
    <w:rsid w:val="001237BA"/>
    <w:rsid w:val="00123CD7"/>
    <w:rsid w:val="00125EF8"/>
    <w:rsid w:val="00126706"/>
    <w:rsid w:val="00127732"/>
    <w:rsid w:val="0013000C"/>
    <w:rsid w:val="00130675"/>
    <w:rsid w:val="00130D73"/>
    <w:rsid w:val="00134B4F"/>
    <w:rsid w:val="001352CD"/>
    <w:rsid w:val="00136597"/>
    <w:rsid w:val="00137785"/>
    <w:rsid w:val="0014129E"/>
    <w:rsid w:val="0014285F"/>
    <w:rsid w:val="0014298E"/>
    <w:rsid w:val="00144653"/>
    <w:rsid w:val="001449A7"/>
    <w:rsid w:val="0014577A"/>
    <w:rsid w:val="001469DE"/>
    <w:rsid w:val="001473F7"/>
    <w:rsid w:val="00147F6F"/>
    <w:rsid w:val="001511D2"/>
    <w:rsid w:val="00151411"/>
    <w:rsid w:val="00152763"/>
    <w:rsid w:val="00153CB9"/>
    <w:rsid w:val="0015498D"/>
    <w:rsid w:val="00155713"/>
    <w:rsid w:val="001558B3"/>
    <w:rsid w:val="00155BFF"/>
    <w:rsid w:val="00156191"/>
    <w:rsid w:val="00156439"/>
    <w:rsid w:val="001601BA"/>
    <w:rsid w:val="00161790"/>
    <w:rsid w:val="00162719"/>
    <w:rsid w:val="00163F46"/>
    <w:rsid w:val="00164105"/>
    <w:rsid w:val="0016435D"/>
    <w:rsid w:val="00164B17"/>
    <w:rsid w:val="00165B68"/>
    <w:rsid w:val="00166F7B"/>
    <w:rsid w:val="00167065"/>
    <w:rsid w:val="0017106A"/>
    <w:rsid w:val="00171AD2"/>
    <w:rsid w:val="0017445A"/>
    <w:rsid w:val="00174FBF"/>
    <w:rsid w:val="00175AC0"/>
    <w:rsid w:val="00177E0F"/>
    <w:rsid w:val="00181495"/>
    <w:rsid w:val="00181BA2"/>
    <w:rsid w:val="001823F3"/>
    <w:rsid w:val="00183078"/>
    <w:rsid w:val="001830D5"/>
    <w:rsid w:val="00184377"/>
    <w:rsid w:val="001911F4"/>
    <w:rsid w:val="00191E94"/>
    <w:rsid w:val="0019648F"/>
    <w:rsid w:val="001A4A11"/>
    <w:rsid w:val="001A5444"/>
    <w:rsid w:val="001A6B66"/>
    <w:rsid w:val="001A7391"/>
    <w:rsid w:val="001B051D"/>
    <w:rsid w:val="001B081C"/>
    <w:rsid w:val="001B0FA0"/>
    <w:rsid w:val="001B1D68"/>
    <w:rsid w:val="001B59CB"/>
    <w:rsid w:val="001B6866"/>
    <w:rsid w:val="001B7067"/>
    <w:rsid w:val="001B78D2"/>
    <w:rsid w:val="001B7F4E"/>
    <w:rsid w:val="001C0982"/>
    <w:rsid w:val="001C1B8A"/>
    <w:rsid w:val="001C4AA5"/>
    <w:rsid w:val="001C502B"/>
    <w:rsid w:val="001C64C9"/>
    <w:rsid w:val="001C74F4"/>
    <w:rsid w:val="001C77A1"/>
    <w:rsid w:val="001C77A9"/>
    <w:rsid w:val="001C7AE3"/>
    <w:rsid w:val="001D08FC"/>
    <w:rsid w:val="001D3294"/>
    <w:rsid w:val="001D3373"/>
    <w:rsid w:val="001D37A7"/>
    <w:rsid w:val="001D4041"/>
    <w:rsid w:val="001D49B4"/>
    <w:rsid w:val="001D5B9F"/>
    <w:rsid w:val="001E11D0"/>
    <w:rsid w:val="001E201C"/>
    <w:rsid w:val="001E3023"/>
    <w:rsid w:val="001E4DE0"/>
    <w:rsid w:val="001E6CAE"/>
    <w:rsid w:val="001E6DC3"/>
    <w:rsid w:val="001F1328"/>
    <w:rsid w:val="001F1385"/>
    <w:rsid w:val="001F2D94"/>
    <w:rsid w:val="001F32E4"/>
    <w:rsid w:val="001F33E2"/>
    <w:rsid w:val="001F38AF"/>
    <w:rsid w:val="001F3A1D"/>
    <w:rsid w:val="001F3E9B"/>
    <w:rsid w:val="001F502D"/>
    <w:rsid w:val="001F504C"/>
    <w:rsid w:val="001F5B84"/>
    <w:rsid w:val="001F7BDB"/>
    <w:rsid w:val="0020064D"/>
    <w:rsid w:val="002035C9"/>
    <w:rsid w:val="00203A9B"/>
    <w:rsid w:val="00204729"/>
    <w:rsid w:val="002066A8"/>
    <w:rsid w:val="002069F1"/>
    <w:rsid w:val="00210F49"/>
    <w:rsid w:val="002126BF"/>
    <w:rsid w:val="00213064"/>
    <w:rsid w:val="002130BF"/>
    <w:rsid w:val="002134C6"/>
    <w:rsid w:val="0021523D"/>
    <w:rsid w:val="00220AAD"/>
    <w:rsid w:val="00221603"/>
    <w:rsid w:val="002227FD"/>
    <w:rsid w:val="00222896"/>
    <w:rsid w:val="0022296C"/>
    <w:rsid w:val="00222C72"/>
    <w:rsid w:val="0022375E"/>
    <w:rsid w:val="002243A8"/>
    <w:rsid w:val="0022490D"/>
    <w:rsid w:val="00224D89"/>
    <w:rsid w:val="00225162"/>
    <w:rsid w:val="0022538F"/>
    <w:rsid w:val="00225CA7"/>
    <w:rsid w:val="00225E36"/>
    <w:rsid w:val="00226CE0"/>
    <w:rsid w:val="0022743D"/>
    <w:rsid w:val="002318B0"/>
    <w:rsid w:val="0023355E"/>
    <w:rsid w:val="00233685"/>
    <w:rsid w:val="00236FEC"/>
    <w:rsid w:val="00237B55"/>
    <w:rsid w:val="00242084"/>
    <w:rsid w:val="00242B33"/>
    <w:rsid w:val="00243F61"/>
    <w:rsid w:val="00246BC7"/>
    <w:rsid w:val="002478E3"/>
    <w:rsid w:val="00247D25"/>
    <w:rsid w:val="002501C9"/>
    <w:rsid w:val="002522AB"/>
    <w:rsid w:val="00253156"/>
    <w:rsid w:val="00254BC3"/>
    <w:rsid w:val="002614B1"/>
    <w:rsid w:val="00261AA7"/>
    <w:rsid w:val="00263C19"/>
    <w:rsid w:val="00264F7C"/>
    <w:rsid w:val="002659E1"/>
    <w:rsid w:val="00266B4F"/>
    <w:rsid w:val="00271017"/>
    <w:rsid w:val="00271FD8"/>
    <w:rsid w:val="00272D35"/>
    <w:rsid w:val="00275A35"/>
    <w:rsid w:val="00275B0E"/>
    <w:rsid w:val="00275E74"/>
    <w:rsid w:val="00276A3D"/>
    <w:rsid w:val="00276B12"/>
    <w:rsid w:val="00277D81"/>
    <w:rsid w:val="00280978"/>
    <w:rsid w:val="0028238B"/>
    <w:rsid w:val="00283DCE"/>
    <w:rsid w:val="00284625"/>
    <w:rsid w:val="0028748D"/>
    <w:rsid w:val="00287837"/>
    <w:rsid w:val="00287C78"/>
    <w:rsid w:val="00290B08"/>
    <w:rsid w:val="002A133D"/>
    <w:rsid w:val="002A30AD"/>
    <w:rsid w:val="002A352F"/>
    <w:rsid w:val="002A47D4"/>
    <w:rsid w:val="002A575A"/>
    <w:rsid w:val="002A5A17"/>
    <w:rsid w:val="002A64A3"/>
    <w:rsid w:val="002A6CBE"/>
    <w:rsid w:val="002A7412"/>
    <w:rsid w:val="002B218A"/>
    <w:rsid w:val="002B2382"/>
    <w:rsid w:val="002B4366"/>
    <w:rsid w:val="002B45FF"/>
    <w:rsid w:val="002B4AB9"/>
    <w:rsid w:val="002B4BDE"/>
    <w:rsid w:val="002B7548"/>
    <w:rsid w:val="002C003C"/>
    <w:rsid w:val="002C091E"/>
    <w:rsid w:val="002C2038"/>
    <w:rsid w:val="002C32EA"/>
    <w:rsid w:val="002C5D63"/>
    <w:rsid w:val="002D0305"/>
    <w:rsid w:val="002D14F8"/>
    <w:rsid w:val="002D2657"/>
    <w:rsid w:val="002D2B0F"/>
    <w:rsid w:val="002D3219"/>
    <w:rsid w:val="002D3BD3"/>
    <w:rsid w:val="002D4C25"/>
    <w:rsid w:val="002D59CE"/>
    <w:rsid w:val="002D7FB5"/>
    <w:rsid w:val="002E0437"/>
    <w:rsid w:val="002E08B4"/>
    <w:rsid w:val="002E0AC5"/>
    <w:rsid w:val="002E2585"/>
    <w:rsid w:val="002E30B8"/>
    <w:rsid w:val="002E3A09"/>
    <w:rsid w:val="002E3E7D"/>
    <w:rsid w:val="002E477E"/>
    <w:rsid w:val="002E5AFA"/>
    <w:rsid w:val="002E6550"/>
    <w:rsid w:val="002E7636"/>
    <w:rsid w:val="002E7C35"/>
    <w:rsid w:val="002F10C4"/>
    <w:rsid w:val="002F2603"/>
    <w:rsid w:val="002F3EF4"/>
    <w:rsid w:val="002F5754"/>
    <w:rsid w:val="002F66D7"/>
    <w:rsid w:val="002F6853"/>
    <w:rsid w:val="002F7661"/>
    <w:rsid w:val="003028E9"/>
    <w:rsid w:val="003032AD"/>
    <w:rsid w:val="00303A5A"/>
    <w:rsid w:val="00304AF7"/>
    <w:rsid w:val="0030589A"/>
    <w:rsid w:val="0030663D"/>
    <w:rsid w:val="003067FB"/>
    <w:rsid w:val="0030729D"/>
    <w:rsid w:val="00307B6D"/>
    <w:rsid w:val="00310015"/>
    <w:rsid w:val="003102FA"/>
    <w:rsid w:val="00311A42"/>
    <w:rsid w:val="00311C35"/>
    <w:rsid w:val="0031279F"/>
    <w:rsid w:val="003127D1"/>
    <w:rsid w:val="00314291"/>
    <w:rsid w:val="00315A53"/>
    <w:rsid w:val="00316D54"/>
    <w:rsid w:val="00316FDA"/>
    <w:rsid w:val="0031785A"/>
    <w:rsid w:val="00321F36"/>
    <w:rsid w:val="00321F4C"/>
    <w:rsid w:val="0032507B"/>
    <w:rsid w:val="00325268"/>
    <w:rsid w:val="00330CB0"/>
    <w:rsid w:val="00331793"/>
    <w:rsid w:val="003318FB"/>
    <w:rsid w:val="00331A9E"/>
    <w:rsid w:val="00335749"/>
    <w:rsid w:val="00336BA6"/>
    <w:rsid w:val="00336DAD"/>
    <w:rsid w:val="0034030B"/>
    <w:rsid w:val="00342E7A"/>
    <w:rsid w:val="00344CF6"/>
    <w:rsid w:val="00346543"/>
    <w:rsid w:val="00346575"/>
    <w:rsid w:val="003465AB"/>
    <w:rsid w:val="00347098"/>
    <w:rsid w:val="003517AC"/>
    <w:rsid w:val="00353173"/>
    <w:rsid w:val="00353D79"/>
    <w:rsid w:val="0035480D"/>
    <w:rsid w:val="00357807"/>
    <w:rsid w:val="0036154C"/>
    <w:rsid w:val="00361C23"/>
    <w:rsid w:val="0036440A"/>
    <w:rsid w:val="00365A99"/>
    <w:rsid w:val="0036764D"/>
    <w:rsid w:val="003677BF"/>
    <w:rsid w:val="00367A12"/>
    <w:rsid w:val="0037027A"/>
    <w:rsid w:val="00370773"/>
    <w:rsid w:val="003709C4"/>
    <w:rsid w:val="00371407"/>
    <w:rsid w:val="003717F3"/>
    <w:rsid w:val="00374C24"/>
    <w:rsid w:val="00374E63"/>
    <w:rsid w:val="003760D1"/>
    <w:rsid w:val="0037702A"/>
    <w:rsid w:val="00377E0B"/>
    <w:rsid w:val="00377EF8"/>
    <w:rsid w:val="00381744"/>
    <w:rsid w:val="00381C2C"/>
    <w:rsid w:val="00381FDB"/>
    <w:rsid w:val="0038456D"/>
    <w:rsid w:val="00385013"/>
    <w:rsid w:val="00385669"/>
    <w:rsid w:val="00386264"/>
    <w:rsid w:val="003917C7"/>
    <w:rsid w:val="00391CA3"/>
    <w:rsid w:val="00392A9D"/>
    <w:rsid w:val="00392DDD"/>
    <w:rsid w:val="00394350"/>
    <w:rsid w:val="00394C02"/>
    <w:rsid w:val="00395C4A"/>
    <w:rsid w:val="00395C5F"/>
    <w:rsid w:val="00396133"/>
    <w:rsid w:val="003966BA"/>
    <w:rsid w:val="0039673B"/>
    <w:rsid w:val="00397C63"/>
    <w:rsid w:val="00397CC7"/>
    <w:rsid w:val="003A1975"/>
    <w:rsid w:val="003A25AE"/>
    <w:rsid w:val="003A27EF"/>
    <w:rsid w:val="003A58C7"/>
    <w:rsid w:val="003A5A80"/>
    <w:rsid w:val="003A60A1"/>
    <w:rsid w:val="003A6ED1"/>
    <w:rsid w:val="003B1603"/>
    <w:rsid w:val="003B3147"/>
    <w:rsid w:val="003B3584"/>
    <w:rsid w:val="003B5A07"/>
    <w:rsid w:val="003B693A"/>
    <w:rsid w:val="003C1656"/>
    <w:rsid w:val="003C27E9"/>
    <w:rsid w:val="003C296C"/>
    <w:rsid w:val="003C4793"/>
    <w:rsid w:val="003C513C"/>
    <w:rsid w:val="003C525B"/>
    <w:rsid w:val="003C5CEB"/>
    <w:rsid w:val="003D02C5"/>
    <w:rsid w:val="003D091D"/>
    <w:rsid w:val="003D119C"/>
    <w:rsid w:val="003D17D4"/>
    <w:rsid w:val="003D29CE"/>
    <w:rsid w:val="003D2AE6"/>
    <w:rsid w:val="003D4D81"/>
    <w:rsid w:val="003D763B"/>
    <w:rsid w:val="003D7CC7"/>
    <w:rsid w:val="003D7F65"/>
    <w:rsid w:val="003E047E"/>
    <w:rsid w:val="003E08D1"/>
    <w:rsid w:val="003E22D7"/>
    <w:rsid w:val="003E24A9"/>
    <w:rsid w:val="003E2DA2"/>
    <w:rsid w:val="003E2EC0"/>
    <w:rsid w:val="003E54A9"/>
    <w:rsid w:val="003E59F5"/>
    <w:rsid w:val="003E6278"/>
    <w:rsid w:val="003E63C8"/>
    <w:rsid w:val="003E6A3C"/>
    <w:rsid w:val="003E70ED"/>
    <w:rsid w:val="003F1C49"/>
    <w:rsid w:val="003F2127"/>
    <w:rsid w:val="003F2FAE"/>
    <w:rsid w:val="003F307A"/>
    <w:rsid w:val="003F31DE"/>
    <w:rsid w:val="003F39F3"/>
    <w:rsid w:val="003F4635"/>
    <w:rsid w:val="003F6BF9"/>
    <w:rsid w:val="003F70C4"/>
    <w:rsid w:val="00400422"/>
    <w:rsid w:val="00400711"/>
    <w:rsid w:val="0040136C"/>
    <w:rsid w:val="00402085"/>
    <w:rsid w:val="00402E21"/>
    <w:rsid w:val="0040360D"/>
    <w:rsid w:val="00403E0D"/>
    <w:rsid w:val="00403E83"/>
    <w:rsid w:val="00404ECB"/>
    <w:rsid w:val="004062BB"/>
    <w:rsid w:val="00410443"/>
    <w:rsid w:val="0041113A"/>
    <w:rsid w:val="0041122F"/>
    <w:rsid w:val="00411991"/>
    <w:rsid w:val="004121B9"/>
    <w:rsid w:val="004125AC"/>
    <w:rsid w:val="00412F9E"/>
    <w:rsid w:val="00413699"/>
    <w:rsid w:val="004138AD"/>
    <w:rsid w:val="004138D3"/>
    <w:rsid w:val="00414BE5"/>
    <w:rsid w:val="00416318"/>
    <w:rsid w:val="00417B53"/>
    <w:rsid w:val="004249F6"/>
    <w:rsid w:val="00426EE3"/>
    <w:rsid w:val="00427068"/>
    <w:rsid w:val="00427CBD"/>
    <w:rsid w:val="004302A4"/>
    <w:rsid w:val="00430825"/>
    <w:rsid w:val="0043134D"/>
    <w:rsid w:val="00434BE7"/>
    <w:rsid w:val="00435600"/>
    <w:rsid w:val="004359EA"/>
    <w:rsid w:val="00437D31"/>
    <w:rsid w:val="00440F3E"/>
    <w:rsid w:val="0044335D"/>
    <w:rsid w:val="0044431E"/>
    <w:rsid w:val="00444C63"/>
    <w:rsid w:val="00444EF2"/>
    <w:rsid w:val="004454DD"/>
    <w:rsid w:val="00446303"/>
    <w:rsid w:val="0044630C"/>
    <w:rsid w:val="00447468"/>
    <w:rsid w:val="00450348"/>
    <w:rsid w:val="00450FC4"/>
    <w:rsid w:val="004515A1"/>
    <w:rsid w:val="004519D1"/>
    <w:rsid w:val="004526E8"/>
    <w:rsid w:val="00454258"/>
    <w:rsid w:val="004543DD"/>
    <w:rsid w:val="00454B1F"/>
    <w:rsid w:val="0045524D"/>
    <w:rsid w:val="004565AE"/>
    <w:rsid w:val="00462E19"/>
    <w:rsid w:val="0046321D"/>
    <w:rsid w:val="00463485"/>
    <w:rsid w:val="00463493"/>
    <w:rsid w:val="00463577"/>
    <w:rsid w:val="00463E9A"/>
    <w:rsid w:val="004643C7"/>
    <w:rsid w:val="00467F4A"/>
    <w:rsid w:val="004702FA"/>
    <w:rsid w:val="0047049E"/>
    <w:rsid w:val="004713E9"/>
    <w:rsid w:val="004715E0"/>
    <w:rsid w:val="004736E9"/>
    <w:rsid w:val="00474882"/>
    <w:rsid w:val="004756EF"/>
    <w:rsid w:val="004758BC"/>
    <w:rsid w:val="00480CE9"/>
    <w:rsid w:val="00482D03"/>
    <w:rsid w:val="00482ECC"/>
    <w:rsid w:val="004837B8"/>
    <w:rsid w:val="00484CAC"/>
    <w:rsid w:val="00485AE9"/>
    <w:rsid w:val="00485C7E"/>
    <w:rsid w:val="00485EE5"/>
    <w:rsid w:val="00490429"/>
    <w:rsid w:val="004908FB"/>
    <w:rsid w:val="0049192F"/>
    <w:rsid w:val="004952F3"/>
    <w:rsid w:val="004967CD"/>
    <w:rsid w:val="00496EE4"/>
    <w:rsid w:val="004A01BE"/>
    <w:rsid w:val="004A0485"/>
    <w:rsid w:val="004A157D"/>
    <w:rsid w:val="004A1979"/>
    <w:rsid w:val="004A340C"/>
    <w:rsid w:val="004A3F20"/>
    <w:rsid w:val="004A401D"/>
    <w:rsid w:val="004A50DF"/>
    <w:rsid w:val="004A53B9"/>
    <w:rsid w:val="004A71C9"/>
    <w:rsid w:val="004B0066"/>
    <w:rsid w:val="004B0FC2"/>
    <w:rsid w:val="004B1E15"/>
    <w:rsid w:val="004B1E3F"/>
    <w:rsid w:val="004B3D3A"/>
    <w:rsid w:val="004B3FCE"/>
    <w:rsid w:val="004B478C"/>
    <w:rsid w:val="004B5D1D"/>
    <w:rsid w:val="004B615B"/>
    <w:rsid w:val="004B6D34"/>
    <w:rsid w:val="004B6FCD"/>
    <w:rsid w:val="004C089B"/>
    <w:rsid w:val="004C34CE"/>
    <w:rsid w:val="004C3B3C"/>
    <w:rsid w:val="004C3F13"/>
    <w:rsid w:val="004C706B"/>
    <w:rsid w:val="004C712F"/>
    <w:rsid w:val="004C757B"/>
    <w:rsid w:val="004D0369"/>
    <w:rsid w:val="004D05FB"/>
    <w:rsid w:val="004D0DA4"/>
    <w:rsid w:val="004D1812"/>
    <w:rsid w:val="004D2868"/>
    <w:rsid w:val="004D3E5A"/>
    <w:rsid w:val="004D4CA7"/>
    <w:rsid w:val="004D5EE2"/>
    <w:rsid w:val="004D6F92"/>
    <w:rsid w:val="004D7407"/>
    <w:rsid w:val="004E07AB"/>
    <w:rsid w:val="004E18E1"/>
    <w:rsid w:val="004E1D38"/>
    <w:rsid w:val="004E248C"/>
    <w:rsid w:val="004E3687"/>
    <w:rsid w:val="004E3A4C"/>
    <w:rsid w:val="004E3FF5"/>
    <w:rsid w:val="004E442F"/>
    <w:rsid w:val="004E4847"/>
    <w:rsid w:val="004E4E3C"/>
    <w:rsid w:val="004E522A"/>
    <w:rsid w:val="004E5B48"/>
    <w:rsid w:val="004E6511"/>
    <w:rsid w:val="004E7323"/>
    <w:rsid w:val="004E77A0"/>
    <w:rsid w:val="004F1143"/>
    <w:rsid w:val="004F22AB"/>
    <w:rsid w:val="004F28E9"/>
    <w:rsid w:val="004F349C"/>
    <w:rsid w:val="004F34C4"/>
    <w:rsid w:val="004F35CB"/>
    <w:rsid w:val="004F515E"/>
    <w:rsid w:val="004F53C2"/>
    <w:rsid w:val="004F579F"/>
    <w:rsid w:val="004F6FCA"/>
    <w:rsid w:val="00501C41"/>
    <w:rsid w:val="00502D4E"/>
    <w:rsid w:val="005030BE"/>
    <w:rsid w:val="00504AED"/>
    <w:rsid w:val="005051B2"/>
    <w:rsid w:val="00507023"/>
    <w:rsid w:val="00507FCE"/>
    <w:rsid w:val="0051024D"/>
    <w:rsid w:val="005103D3"/>
    <w:rsid w:val="005110B0"/>
    <w:rsid w:val="00511164"/>
    <w:rsid w:val="00511464"/>
    <w:rsid w:val="00512DFC"/>
    <w:rsid w:val="00512EAF"/>
    <w:rsid w:val="00513676"/>
    <w:rsid w:val="00513EAD"/>
    <w:rsid w:val="00514099"/>
    <w:rsid w:val="005140E7"/>
    <w:rsid w:val="005144DF"/>
    <w:rsid w:val="00514887"/>
    <w:rsid w:val="005164A2"/>
    <w:rsid w:val="0051739F"/>
    <w:rsid w:val="00520510"/>
    <w:rsid w:val="0052137C"/>
    <w:rsid w:val="00521F03"/>
    <w:rsid w:val="00527F1C"/>
    <w:rsid w:val="00530484"/>
    <w:rsid w:val="00533777"/>
    <w:rsid w:val="00533A8F"/>
    <w:rsid w:val="00535BBD"/>
    <w:rsid w:val="00536AD4"/>
    <w:rsid w:val="00537037"/>
    <w:rsid w:val="0053711E"/>
    <w:rsid w:val="00540C5C"/>
    <w:rsid w:val="0054220C"/>
    <w:rsid w:val="005428EA"/>
    <w:rsid w:val="00542C0A"/>
    <w:rsid w:val="00542DE6"/>
    <w:rsid w:val="005446C9"/>
    <w:rsid w:val="00544FD8"/>
    <w:rsid w:val="005450D8"/>
    <w:rsid w:val="005457CE"/>
    <w:rsid w:val="00545983"/>
    <w:rsid w:val="00545DAE"/>
    <w:rsid w:val="00546501"/>
    <w:rsid w:val="0054699D"/>
    <w:rsid w:val="00550C0B"/>
    <w:rsid w:val="00551DAE"/>
    <w:rsid w:val="00552682"/>
    <w:rsid w:val="00552ABF"/>
    <w:rsid w:val="00554863"/>
    <w:rsid w:val="00554D3F"/>
    <w:rsid w:val="00554FD9"/>
    <w:rsid w:val="005578EA"/>
    <w:rsid w:val="0056297A"/>
    <w:rsid w:val="00562F02"/>
    <w:rsid w:val="00563246"/>
    <w:rsid w:val="00565492"/>
    <w:rsid w:val="005657F4"/>
    <w:rsid w:val="00566CB8"/>
    <w:rsid w:val="005679DD"/>
    <w:rsid w:val="00567D28"/>
    <w:rsid w:val="005703FD"/>
    <w:rsid w:val="00570E20"/>
    <w:rsid w:val="005710D5"/>
    <w:rsid w:val="00572C2D"/>
    <w:rsid w:val="00574A73"/>
    <w:rsid w:val="00574E52"/>
    <w:rsid w:val="005755B5"/>
    <w:rsid w:val="005764B5"/>
    <w:rsid w:val="0058029B"/>
    <w:rsid w:val="0058221F"/>
    <w:rsid w:val="0058456B"/>
    <w:rsid w:val="00585A21"/>
    <w:rsid w:val="00586F6F"/>
    <w:rsid w:val="0058705B"/>
    <w:rsid w:val="00587E39"/>
    <w:rsid w:val="0059157E"/>
    <w:rsid w:val="005916C0"/>
    <w:rsid w:val="00594A4D"/>
    <w:rsid w:val="00594E57"/>
    <w:rsid w:val="005A1718"/>
    <w:rsid w:val="005A2F72"/>
    <w:rsid w:val="005A3C2A"/>
    <w:rsid w:val="005A7209"/>
    <w:rsid w:val="005A7ACC"/>
    <w:rsid w:val="005B0036"/>
    <w:rsid w:val="005B05CA"/>
    <w:rsid w:val="005B0B3A"/>
    <w:rsid w:val="005B0F7C"/>
    <w:rsid w:val="005B3456"/>
    <w:rsid w:val="005B46D8"/>
    <w:rsid w:val="005B5E60"/>
    <w:rsid w:val="005B6213"/>
    <w:rsid w:val="005B67EC"/>
    <w:rsid w:val="005C2FDF"/>
    <w:rsid w:val="005C308D"/>
    <w:rsid w:val="005C3C2E"/>
    <w:rsid w:val="005C4594"/>
    <w:rsid w:val="005C4CE2"/>
    <w:rsid w:val="005C531A"/>
    <w:rsid w:val="005C6243"/>
    <w:rsid w:val="005C6B1F"/>
    <w:rsid w:val="005D1335"/>
    <w:rsid w:val="005D2456"/>
    <w:rsid w:val="005D28AB"/>
    <w:rsid w:val="005D50BC"/>
    <w:rsid w:val="005D5432"/>
    <w:rsid w:val="005D562E"/>
    <w:rsid w:val="005D5E45"/>
    <w:rsid w:val="005D5F5D"/>
    <w:rsid w:val="005D61B4"/>
    <w:rsid w:val="005D7168"/>
    <w:rsid w:val="005E1180"/>
    <w:rsid w:val="005E1790"/>
    <w:rsid w:val="005E1AEC"/>
    <w:rsid w:val="005E2C57"/>
    <w:rsid w:val="005E348D"/>
    <w:rsid w:val="005E4680"/>
    <w:rsid w:val="005E50D5"/>
    <w:rsid w:val="005E5191"/>
    <w:rsid w:val="005E5D8D"/>
    <w:rsid w:val="005E62AA"/>
    <w:rsid w:val="005E65DD"/>
    <w:rsid w:val="005E6B90"/>
    <w:rsid w:val="005F034D"/>
    <w:rsid w:val="005F112D"/>
    <w:rsid w:val="005F369A"/>
    <w:rsid w:val="005F3A49"/>
    <w:rsid w:val="005F4532"/>
    <w:rsid w:val="005F4560"/>
    <w:rsid w:val="005F4B15"/>
    <w:rsid w:val="005F5082"/>
    <w:rsid w:val="005F57CC"/>
    <w:rsid w:val="005F61E7"/>
    <w:rsid w:val="005F7449"/>
    <w:rsid w:val="005F796A"/>
    <w:rsid w:val="006008D1"/>
    <w:rsid w:val="00600A3F"/>
    <w:rsid w:val="0060191F"/>
    <w:rsid w:val="00602476"/>
    <w:rsid w:val="0060286C"/>
    <w:rsid w:val="006051E1"/>
    <w:rsid w:val="006052E9"/>
    <w:rsid w:val="00605F2A"/>
    <w:rsid w:val="00607D85"/>
    <w:rsid w:val="00610EEC"/>
    <w:rsid w:val="00611F2B"/>
    <w:rsid w:val="00613B81"/>
    <w:rsid w:val="00613BC2"/>
    <w:rsid w:val="006142B7"/>
    <w:rsid w:val="00614EC3"/>
    <w:rsid w:val="00615486"/>
    <w:rsid w:val="00620853"/>
    <w:rsid w:val="00620D78"/>
    <w:rsid w:val="006210FD"/>
    <w:rsid w:val="006214FA"/>
    <w:rsid w:val="00623173"/>
    <w:rsid w:val="006234F5"/>
    <w:rsid w:val="00623BB6"/>
    <w:rsid w:val="00624445"/>
    <w:rsid w:val="00624FFF"/>
    <w:rsid w:val="00625140"/>
    <w:rsid w:val="0062517B"/>
    <w:rsid w:val="00627F92"/>
    <w:rsid w:val="00630F6F"/>
    <w:rsid w:val="00633BA5"/>
    <w:rsid w:val="006346D0"/>
    <w:rsid w:val="00634DCD"/>
    <w:rsid w:val="00635975"/>
    <w:rsid w:val="00636784"/>
    <w:rsid w:val="00636B7D"/>
    <w:rsid w:val="006373EF"/>
    <w:rsid w:val="0064051B"/>
    <w:rsid w:val="006419AE"/>
    <w:rsid w:val="00643A2F"/>
    <w:rsid w:val="0064468D"/>
    <w:rsid w:val="0064602D"/>
    <w:rsid w:val="00646B63"/>
    <w:rsid w:val="00647D42"/>
    <w:rsid w:val="00647E78"/>
    <w:rsid w:val="006503ED"/>
    <w:rsid w:val="00652097"/>
    <w:rsid w:val="00653788"/>
    <w:rsid w:val="006545CF"/>
    <w:rsid w:val="0065608E"/>
    <w:rsid w:val="00656194"/>
    <w:rsid w:val="006571EC"/>
    <w:rsid w:val="00660236"/>
    <w:rsid w:val="0066330E"/>
    <w:rsid w:val="0066401B"/>
    <w:rsid w:val="0066427C"/>
    <w:rsid w:val="00664B9E"/>
    <w:rsid w:val="006662BD"/>
    <w:rsid w:val="00670C11"/>
    <w:rsid w:val="00671173"/>
    <w:rsid w:val="00671425"/>
    <w:rsid w:val="00672FA0"/>
    <w:rsid w:val="006735D5"/>
    <w:rsid w:val="00673CC9"/>
    <w:rsid w:val="0067463A"/>
    <w:rsid w:val="0067496D"/>
    <w:rsid w:val="00674E7A"/>
    <w:rsid w:val="006751B4"/>
    <w:rsid w:val="006778B7"/>
    <w:rsid w:val="00683247"/>
    <w:rsid w:val="006838CC"/>
    <w:rsid w:val="00683F27"/>
    <w:rsid w:val="006841DE"/>
    <w:rsid w:val="00685E85"/>
    <w:rsid w:val="006871C8"/>
    <w:rsid w:val="0068765B"/>
    <w:rsid w:val="00687A90"/>
    <w:rsid w:val="0069016D"/>
    <w:rsid w:val="006908AB"/>
    <w:rsid w:val="00692CAF"/>
    <w:rsid w:val="00692EDB"/>
    <w:rsid w:val="0069373F"/>
    <w:rsid w:val="00693E13"/>
    <w:rsid w:val="00693FF1"/>
    <w:rsid w:val="006944E8"/>
    <w:rsid w:val="00694612"/>
    <w:rsid w:val="00695D3D"/>
    <w:rsid w:val="00696A5B"/>
    <w:rsid w:val="006A08F9"/>
    <w:rsid w:val="006A1325"/>
    <w:rsid w:val="006A152F"/>
    <w:rsid w:val="006A15EA"/>
    <w:rsid w:val="006A2332"/>
    <w:rsid w:val="006A65FE"/>
    <w:rsid w:val="006A69CF"/>
    <w:rsid w:val="006A6F43"/>
    <w:rsid w:val="006B08F5"/>
    <w:rsid w:val="006B0A1E"/>
    <w:rsid w:val="006B13D3"/>
    <w:rsid w:val="006B1A44"/>
    <w:rsid w:val="006B4EAD"/>
    <w:rsid w:val="006B52FA"/>
    <w:rsid w:val="006B64EB"/>
    <w:rsid w:val="006B6AEF"/>
    <w:rsid w:val="006B6D51"/>
    <w:rsid w:val="006B6DEB"/>
    <w:rsid w:val="006C02F1"/>
    <w:rsid w:val="006C0843"/>
    <w:rsid w:val="006C0ACF"/>
    <w:rsid w:val="006C0BB9"/>
    <w:rsid w:val="006C11FE"/>
    <w:rsid w:val="006C15A4"/>
    <w:rsid w:val="006C1BC4"/>
    <w:rsid w:val="006C2053"/>
    <w:rsid w:val="006C3AEB"/>
    <w:rsid w:val="006C54E4"/>
    <w:rsid w:val="006C5E15"/>
    <w:rsid w:val="006C6035"/>
    <w:rsid w:val="006C76C6"/>
    <w:rsid w:val="006C790B"/>
    <w:rsid w:val="006D0E84"/>
    <w:rsid w:val="006D172B"/>
    <w:rsid w:val="006D3F11"/>
    <w:rsid w:val="006D5810"/>
    <w:rsid w:val="006D5C53"/>
    <w:rsid w:val="006E0323"/>
    <w:rsid w:val="006E0BEA"/>
    <w:rsid w:val="006E1BBC"/>
    <w:rsid w:val="006E2304"/>
    <w:rsid w:val="006E3163"/>
    <w:rsid w:val="006E3B54"/>
    <w:rsid w:val="006E4CF9"/>
    <w:rsid w:val="006E7CD1"/>
    <w:rsid w:val="006F1457"/>
    <w:rsid w:val="006F1A70"/>
    <w:rsid w:val="006F2E74"/>
    <w:rsid w:val="006F6487"/>
    <w:rsid w:val="006F75B5"/>
    <w:rsid w:val="007008E5"/>
    <w:rsid w:val="00700CF4"/>
    <w:rsid w:val="00700EAE"/>
    <w:rsid w:val="007013C1"/>
    <w:rsid w:val="007025C1"/>
    <w:rsid w:val="007028D1"/>
    <w:rsid w:val="00703198"/>
    <w:rsid w:val="0070423E"/>
    <w:rsid w:val="0070446E"/>
    <w:rsid w:val="00704A31"/>
    <w:rsid w:val="0071030E"/>
    <w:rsid w:val="0071249E"/>
    <w:rsid w:val="007126D4"/>
    <w:rsid w:val="00712C26"/>
    <w:rsid w:val="00713CE5"/>
    <w:rsid w:val="00714A46"/>
    <w:rsid w:val="00716193"/>
    <w:rsid w:val="007167B0"/>
    <w:rsid w:val="0071704B"/>
    <w:rsid w:val="00721F89"/>
    <w:rsid w:val="007231F9"/>
    <w:rsid w:val="00723F11"/>
    <w:rsid w:val="00724C0D"/>
    <w:rsid w:val="0072656D"/>
    <w:rsid w:val="00730855"/>
    <w:rsid w:val="00731911"/>
    <w:rsid w:val="0073639D"/>
    <w:rsid w:val="0073660E"/>
    <w:rsid w:val="00736AF1"/>
    <w:rsid w:val="007375CF"/>
    <w:rsid w:val="007378E1"/>
    <w:rsid w:val="00740CA6"/>
    <w:rsid w:val="007426E7"/>
    <w:rsid w:val="0074286E"/>
    <w:rsid w:val="00742C4F"/>
    <w:rsid w:val="00742EBB"/>
    <w:rsid w:val="00743E4C"/>
    <w:rsid w:val="0074474C"/>
    <w:rsid w:val="00744A5E"/>
    <w:rsid w:val="00745225"/>
    <w:rsid w:val="00745730"/>
    <w:rsid w:val="00745B1B"/>
    <w:rsid w:val="00746A61"/>
    <w:rsid w:val="00747386"/>
    <w:rsid w:val="007501DD"/>
    <w:rsid w:val="00751484"/>
    <w:rsid w:val="007515A0"/>
    <w:rsid w:val="00751A9A"/>
    <w:rsid w:val="00751C1E"/>
    <w:rsid w:val="007539E9"/>
    <w:rsid w:val="007541F1"/>
    <w:rsid w:val="007544CD"/>
    <w:rsid w:val="00754A41"/>
    <w:rsid w:val="0075601D"/>
    <w:rsid w:val="00756DB3"/>
    <w:rsid w:val="00757B38"/>
    <w:rsid w:val="0076006D"/>
    <w:rsid w:val="00762103"/>
    <w:rsid w:val="007635AB"/>
    <w:rsid w:val="00763C8B"/>
    <w:rsid w:val="00764823"/>
    <w:rsid w:val="0076505F"/>
    <w:rsid w:val="00765BF2"/>
    <w:rsid w:val="007665B6"/>
    <w:rsid w:val="0076770E"/>
    <w:rsid w:val="007704B4"/>
    <w:rsid w:val="007707C8"/>
    <w:rsid w:val="00770A72"/>
    <w:rsid w:val="00775BE0"/>
    <w:rsid w:val="007774D4"/>
    <w:rsid w:val="00780265"/>
    <w:rsid w:val="007803F6"/>
    <w:rsid w:val="00780EB2"/>
    <w:rsid w:val="00780F36"/>
    <w:rsid w:val="00781BBA"/>
    <w:rsid w:val="0078412E"/>
    <w:rsid w:val="00784F5C"/>
    <w:rsid w:val="007868D2"/>
    <w:rsid w:val="0078690D"/>
    <w:rsid w:val="00786E6A"/>
    <w:rsid w:val="0079062A"/>
    <w:rsid w:val="0079233D"/>
    <w:rsid w:val="007939D2"/>
    <w:rsid w:val="00793A27"/>
    <w:rsid w:val="0079406E"/>
    <w:rsid w:val="00794794"/>
    <w:rsid w:val="00796F7C"/>
    <w:rsid w:val="0079780C"/>
    <w:rsid w:val="007A0DE8"/>
    <w:rsid w:val="007A0FA8"/>
    <w:rsid w:val="007A27D7"/>
    <w:rsid w:val="007A3C94"/>
    <w:rsid w:val="007A55A1"/>
    <w:rsid w:val="007A61A1"/>
    <w:rsid w:val="007A7435"/>
    <w:rsid w:val="007A78DF"/>
    <w:rsid w:val="007B051C"/>
    <w:rsid w:val="007B09D4"/>
    <w:rsid w:val="007B0C92"/>
    <w:rsid w:val="007B127D"/>
    <w:rsid w:val="007B19D3"/>
    <w:rsid w:val="007B3918"/>
    <w:rsid w:val="007B39B9"/>
    <w:rsid w:val="007B5466"/>
    <w:rsid w:val="007B6CCB"/>
    <w:rsid w:val="007C0D7F"/>
    <w:rsid w:val="007C1B11"/>
    <w:rsid w:val="007C4C01"/>
    <w:rsid w:val="007D0FCF"/>
    <w:rsid w:val="007D145C"/>
    <w:rsid w:val="007D1754"/>
    <w:rsid w:val="007D178A"/>
    <w:rsid w:val="007D26CA"/>
    <w:rsid w:val="007D3884"/>
    <w:rsid w:val="007D479E"/>
    <w:rsid w:val="007D4E2A"/>
    <w:rsid w:val="007D52B9"/>
    <w:rsid w:val="007D7D86"/>
    <w:rsid w:val="007E0DC1"/>
    <w:rsid w:val="007E20A4"/>
    <w:rsid w:val="007E2BB7"/>
    <w:rsid w:val="007E2BFE"/>
    <w:rsid w:val="007E4BBE"/>
    <w:rsid w:val="007E50C5"/>
    <w:rsid w:val="007E6C3A"/>
    <w:rsid w:val="007F059D"/>
    <w:rsid w:val="007F0656"/>
    <w:rsid w:val="007F0909"/>
    <w:rsid w:val="007F1851"/>
    <w:rsid w:val="007F3481"/>
    <w:rsid w:val="007F3C86"/>
    <w:rsid w:val="007F5097"/>
    <w:rsid w:val="007F5344"/>
    <w:rsid w:val="007F62E8"/>
    <w:rsid w:val="007F74F8"/>
    <w:rsid w:val="008003E9"/>
    <w:rsid w:val="0080234B"/>
    <w:rsid w:val="008031DF"/>
    <w:rsid w:val="00803945"/>
    <w:rsid w:val="008039AD"/>
    <w:rsid w:val="00803D6D"/>
    <w:rsid w:val="0080453D"/>
    <w:rsid w:val="00807DE1"/>
    <w:rsid w:val="00810407"/>
    <w:rsid w:val="00811B24"/>
    <w:rsid w:val="00812466"/>
    <w:rsid w:val="0081248C"/>
    <w:rsid w:val="00812D42"/>
    <w:rsid w:val="008130D1"/>
    <w:rsid w:val="0081376D"/>
    <w:rsid w:val="00813DD7"/>
    <w:rsid w:val="0081492D"/>
    <w:rsid w:val="00814B2C"/>
    <w:rsid w:val="00814B5F"/>
    <w:rsid w:val="00814DB7"/>
    <w:rsid w:val="0081647D"/>
    <w:rsid w:val="00816C44"/>
    <w:rsid w:val="008171B6"/>
    <w:rsid w:val="00817807"/>
    <w:rsid w:val="0082038A"/>
    <w:rsid w:val="00820931"/>
    <w:rsid w:val="0082093A"/>
    <w:rsid w:val="00820CF7"/>
    <w:rsid w:val="00820E13"/>
    <w:rsid w:val="0082118D"/>
    <w:rsid w:val="00822AEE"/>
    <w:rsid w:val="0082351D"/>
    <w:rsid w:val="008240E0"/>
    <w:rsid w:val="00826719"/>
    <w:rsid w:val="00831625"/>
    <w:rsid w:val="00831827"/>
    <w:rsid w:val="00831EC0"/>
    <w:rsid w:val="00833064"/>
    <w:rsid w:val="0083491E"/>
    <w:rsid w:val="008353FD"/>
    <w:rsid w:val="00837103"/>
    <w:rsid w:val="00837C5A"/>
    <w:rsid w:val="00840BC8"/>
    <w:rsid w:val="00841EE4"/>
    <w:rsid w:val="00841FAD"/>
    <w:rsid w:val="008434EA"/>
    <w:rsid w:val="0084366B"/>
    <w:rsid w:val="00844851"/>
    <w:rsid w:val="00844D45"/>
    <w:rsid w:val="00847D5B"/>
    <w:rsid w:val="008500F8"/>
    <w:rsid w:val="0085721F"/>
    <w:rsid w:val="00857533"/>
    <w:rsid w:val="00860F98"/>
    <w:rsid w:val="0086108A"/>
    <w:rsid w:val="0086136A"/>
    <w:rsid w:val="00863689"/>
    <w:rsid w:val="00865510"/>
    <w:rsid w:val="00866930"/>
    <w:rsid w:val="00866938"/>
    <w:rsid w:val="00866C05"/>
    <w:rsid w:val="00867F82"/>
    <w:rsid w:val="0087434A"/>
    <w:rsid w:val="00874BE1"/>
    <w:rsid w:val="00875C75"/>
    <w:rsid w:val="00876988"/>
    <w:rsid w:val="00880A35"/>
    <w:rsid w:val="00881A63"/>
    <w:rsid w:val="00881B43"/>
    <w:rsid w:val="00881BF5"/>
    <w:rsid w:val="0088366B"/>
    <w:rsid w:val="008839C6"/>
    <w:rsid w:val="00884E9F"/>
    <w:rsid w:val="00891751"/>
    <w:rsid w:val="00894F6D"/>
    <w:rsid w:val="00896E00"/>
    <w:rsid w:val="00897238"/>
    <w:rsid w:val="008A04B2"/>
    <w:rsid w:val="008A15D5"/>
    <w:rsid w:val="008A2B05"/>
    <w:rsid w:val="008A352D"/>
    <w:rsid w:val="008A3BEA"/>
    <w:rsid w:val="008A4A5D"/>
    <w:rsid w:val="008A69EB"/>
    <w:rsid w:val="008A6EAD"/>
    <w:rsid w:val="008A750C"/>
    <w:rsid w:val="008A7E17"/>
    <w:rsid w:val="008B0378"/>
    <w:rsid w:val="008B1789"/>
    <w:rsid w:val="008B1EE2"/>
    <w:rsid w:val="008B1F15"/>
    <w:rsid w:val="008B22BB"/>
    <w:rsid w:val="008B2879"/>
    <w:rsid w:val="008B3969"/>
    <w:rsid w:val="008B3A80"/>
    <w:rsid w:val="008B60AF"/>
    <w:rsid w:val="008B6733"/>
    <w:rsid w:val="008B6B5D"/>
    <w:rsid w:val="008B7004"/>
    <w:rsid w:val="008B79AE"/>
    <w:rsid w:val="008C0A56"/>
    <w:rsid w:val="008C196E"/>
    <w:rsid w:val="008C2A39"/>
    <w:rsid w:val="008C4364"/>
    <w:rsid w:val="008C496B"/>
    <w:rsid w:val="008C4DC4"/>
    <w:rsid w:val="008C58CF"/>
    <w:rsid w:val="008C5A53"/>
    <w:rsid w:val="008C6D3E"/>
    <w:rsid w:val="008D38B3"/>
    <w:rsid w:val="008D48F8"/>
    <w:rsid w:val="008D4C12"/>
    <w:rsid w:val="008D609E"/>
    <w:rsid w:val="008D74DB"/>
    <w:rsid w:val="008E05A8"/>
    <w:rsid w:val="008E1A1D"/>
    <w:rsid w:val="008E5220"/>
    <w:rsid w:val="008E5406"/>
    <w:rsid w:val="008E66A6"/>
    <w:rsid w:val="008E69BD"/>
    <w:rsid w:val="008E6F3D"/>
    <w:rsid w:val="008F102E"/>
    <w:rsid w:val="008F60EA"/>
    <w:rsid w:val="008F7D40"/>
    <w:rsid w:val="00901584"/>
    <w:rsid w:val="00902EFF"/>
    <w:rsid w:val="00903F12"/>
    <w:rsid w:val="0090402C"/>
    <w:rsid w:val="00904BEE"/>
    <w:rsid w:val="00904FBF"/>
    <w:rsid w:val="0090576C"/>
    <w:rsid w:val="00906BCC"/>
    <w:rsid w:val="00906BE0"/>
    <w:rsid w:val="00907AD0"/>
    <w:rsid w:val="00907BE6"/>
    <w:rsid w:val="00907D35"/>
    <w:rsid w:val="0091270B"/>
    <w:rsid w:val="009154A6"/>
    <w:rsid w:val="00915A03"/>
    <w:rsid w:val="00915BEC"/>
    <w:rsid w:val="00916176"/>
    <w:rsid w:val="00916245"/>
    <w:rsid w:val="00917075"/>
    <w:rsid w:val="009212F3"/>
    <w:rsid w:val="00921E01"/>
    <w:rsid w:val="00923072"/>
    <w:rsid w:val="00923419"/>
    <w:rsid w:val="009269F2"/>
    <w:rsid w:val="00930974"/>
    <w:rsid w:val="00931437"/>
    <w:rsid w:val="00931AAC"/>
    <w:rsid w:val="00931C46"/>
    <w:rsid w:val="0093411C"/>
    <w:rsid w:val="0093563B"/>
    <w:rsid w:val="00936599"/>
    <w:rsid w:val="0093735D"/>
    <w:rsid w:val="0094609B"/>
    <w:rsid w:val="0095198B"/>
    <w:rsid w:val="009527FB"/>
    <w:rsid w:val="00952C89"/>
    <w:rsid w:val="00956ED6"/>
    <w:rsid w:val="009578BC"/>
    <w:rsid w:val="00957C4A"/>
    <w:rsid w:val="009613DE"/>
    <w:rsid w:val="00961446"/>
    <w:rsid w:val="0096334E"/>
    <w:rsid w:val="00964066"/>
    <w:rsid w:val="00971602"/>
    <w:rsid w:val="0097232A"/>
    <w:rsid w:val="00973C2E"/>
    <w:rsid w:val="009754A6"/>
    <w:rsid w:val="009766FF"/>
    <w:rsid w:val="00976773"/>
    <w:rsid w:val="00976BC5"/>
    <w:rsid w:val="00977736"/>
    <w:rsid w:val="00977D48"/>
    <w:rsid w:val="00980350"/>
    <w:rsid w:val="0098339A"/>
    <w:rsid w:val="00984C07"/>
    <w:rsid w:val="0098597E"/>
    <w:rsid w:val="0098761B"/>
    <w:rsid w:val="00992A57"/>
    <w:rsid w:val="00993F1B"/>
    <w:rsid w:val="00995BB7"/>
    <w:rsid w:val="00996741"/>
    <w:rsid w:val="00996AB2"/>
    <w:rsid w:val="009A0590"/>
    <w:rsid w:val="009A1C59"/>
    <w:rsid w:val="009A23D1"/>
    <w:rsid w:val="009A27A3"/>
    <w:rsid w:val="009A2A42"/>
    <w:rsid w:val="009A2B6E"/>
    <w:rsid w:val="009A4890"/>
    <w:rsid w:val="009A7804"/>
    <w:rsid w:val="009B0953"/>
    <w:rsid w:val="009B0DA5"/>
    <w:rsid w:val="009B1400"/>
    <w:rsid w:val="009B2DAD"/>
    <w:rsid w:val="009B47E8"/>
    <w:rsid w:val="009B4D23"/>
    <w:rsid w:val="009B612E"/>
    <w:rsid w:val="009B6589"/>
    <w:rsid w:val="009B6C08"/>
    <w:rsid w:val="009C0191"/>
    <w:rsid w:val="009C1304"/>
    <w:rsid w:val="009C1528"/>
    <w:rsid w:val="009C2D07"/>
    <w:rsid w:val="009C3E00"/>
    <w:rsid w:val="009C3E79"/>
    <w:rsid w:val="009C6A99"/>
    <w:rsid w:val="009C7B64"/>
    <w:rsid w:val="009C7BB9"/>
    <w:rsid w:val="009D181F"/>
    <w:rsid w:val="009D3E9A"/>
    <w:rsid w:val="009D4BE8"/>
    <w:rsid w:val="009D5036"/>
    <w:rsid w:val="009E054F"/>
    <w:rsid w:val="009E06AC"/>
    <w:rsid w:val="009E24AE"/>
    <w:rsid w:val="009E2840"/>
    <w:rsid w:val="009E43EA"/>
    <w:rsid w:val="009F5074"/>
    <w:rsid w:val="009F6123"/>
    <w:rsid w:val="009F629E"/>
    <w:rsid w:val="009F6647"/>
    <w:rsid w:val="009F6798"/>
    <w:rsid w:val="009F78C4"/>
    <w:rsid w:val="00A01E5A"/>
    <w:rsid w:val="00A0264C"/>
    <w:rsid w:val="00A047C7"/>
    <w:rsid w:val="00A051AC"/>
    <w:rsid w:val="00A053CC"/>
    <w:rsid w:val="00A05450"/>
    <w:rsid w:val="00A079FE"/>
    <w:rsid w:val="00A07A87"/>
    <w:rsid w:val="00A07AA7"/>
    <w:rsid w:val="00A11590"/>
    <w:rsid w:val="00A11F7F"/>
    <w:rsid w:val="00A12158"/>
    <w:rsid w:val="00A12A0F"/>
    <w:rsid w:val="00A12CA1"/>
    <w:rsid w:val="00A132AF"/>
    <w:rsid w:val="00A1332F"/>
    <w:rsid w:val="00A137C2"/>
    <w:rsid w:val="00A15557"/>
    <w:rsid w:val="00A157A9"/>
    <w:rsid w:val="00A168D5"/>
    <w:rsid w:val="00A17CDA"/>
    <w:rsid w:val="00A201DA"/>
    <w:rsid w:val="00A207B7"/>
    <w:rsid w:val="00A21FCA"/>
    <w:rsid w:val="00A247F0"/>
    <w:rsid w:val="00A252C8"/>
    <w:rsid w:val="00A25833"/>
    <w:rsid w:val="00A302C5"/>
    <w:rsid w:val="00A306F8"/>
    <w:rsid w:val="00A31427"/>
    <w:rsid w:val="00A31C7E"/>
    <w:rsid w:val="00A35604"/>
    <w:rsid w:val="00A36318"/>
    <w:rsid w:val="00A37F86"/>
    <w:rsid w:val="00A40C9A"/>
    <w:rsid w:val="00A414E5"/>
    <w:rsid w:val="00A42C43"/>
    <w:rsid w:val="00A43B8C"/>
    <w:rsid w:val="00A45BF6"/>
    <w:rsid w:val="00A464CE"/>
    <w:rsid w:val="00A46684"/>
    <w:rsid w:val="00A501AE"/>
    <w:rsid w:val="00A516EE"/>
    <w:rsid w:val="00A525AB"/>
    <w:rsid w:val="00A52923"/>
    <w:rsid w:val="00A53493"/>
    <w:rsid w:val="00A541BE"/>
    <w:rsid w:val="00A5458F"/>
    <w:rsid w:val="00A5560E"/>
    <w:rsid w:val="00A5616F"/>
    <w:rsid w:val="00A56A4D"/>
    <w:rsid w:val="00A5770C"/>
    <w:rsid w:val="00A57F47"/>
    <w:rsid w:val="00A60BC8"/>
    <w:rsid w:val="00A61AB8"/>
    <w:rsid w:val="00A61D4D"/>
    <w:rsid w:val="00A62EEA"/>
    <w:rsid w:val="00A6438C"/>
    <w:rsid w:val="00A64728"/>
    <w:rsid w:val="00A651E1"/>
    <w:rsid w:val="00A65C83"/>
    <w:rsid w:val="00A677BE"/>
    <w:rsid w:val="00A700B9"/>
    <w:rsid w:val="00A71734"/>
    <w:rsid w:val="00A745A8"/>
    <w:rsid w:val="00A758E5"/>
    <w:rsid w:val="00A75F06"/>
    <w:rsid w:val="00A80B71"/>
    <w:rsid w:val="00A81664"/>
    <w:rsid w:val="00A81C71"/>
    <w:rsid w:val="00A840B7"/>
    <w:rsid w:val="00A875C5"/>
    <w:rsid w:val="00A87A99"/>
    <w:rsid w:val="00A93833"/>
    <w:rsid w:val="00A9594D"/>
    <w:rsid w:val="00A967F0"/>
    <w:rsid w:val="00A96F54"/>
    <w:rsid w:val="00A96FDA"/>
    <w:rsid w:val="00A975A5"/>
    <w:rsid w:val="00AA0FA4"/>
    <w:rsid w:val="00AA1BCD"/>
    <w:rsid w:val="00AA3026"/>
    <w:rsid w:val="00AA416A"/>
    <w:rsid w:val="00AA436B"/>
    <w:rsid w:val="00AA4E5C"/>
    <w:rsid w:val="00AA6187"/>
    <w:rsid w:val="00AB0491"/>
    <w:rsid w:val="00AB3BE3"/>
    <w:rsid w:val="00AB47C3"/>
    <w:rsid w:val="00AB59AE"/>
    <w:rsid w:val="00AB62D9"/>
    <w:rsid w:val="00AC2B8D"/>
    <w:rsid w:val="00AC3A5D"/>
    <w:rsid w:val="00AC3CCC"/>
    <w:rsid w:val="00AC4A8B"/>
    <w:rsid w:val="00AC6E74"/>
    <w:rsid w:val="00AC78D0"/>
    <w:rsid w:val="00AD0B42"/>
    <w:rsid w:val="00AD0C6B"/>
    <w:rsid w:val="00AD0C93"/>
    <w:rsid w:val="00AD18CC"/>
    <w:rsid w:val="00AD1E51"/>
    <w:rsid w:val="00AD439B"/>
    <w:rsid w:val="00AD45DA"/>
    <w:rsid w:val="00AD7F47"/>
    <w:rsid w:val="00AE022D"/>
    <w:rsid w:val="00AE0623"/>
    <w:rsid w:val="00AE1273"/>
    <w:rsid w:val="00AE1ED3"/>
    <w:rsid w:val="00AE2F86"/>
    <w:rsid w:val="00AE4870"/>
    <w:rsid w:val="00AE6936"/>
    <w:rsid w:val="00AE6D47"/>
    <w:rsid w:val="00AF2A42"/>
    <w:rsid w:val="00AF3126"/>
    <w:rsid w:val="00AF4A66"/>
    <w:rsid w:val="00AF5509"/>
    <w:rsid w:val="00AF714D"/>
    <w:rsid w:val="00AF78DD"/>
    <w:rsid w:val="00AF7B1D"/>
    <w:rsid w:val="00B006F1"/>
    <w:rsid w:val="00B00B41"/>
    <w:rsid w:val="00B01C8E"/>
    <w:rsid w:val="00B03E1B"/>
    <w:rsid w:val="00B04342"/>
    <w:rsid w:val="00B04467"/>
    <w:rsid w:val="00B05A1F"/>
    <w:rsid w:val="00B06AC9"/>
    <w:rsid w:val="00B07A4C"/>
    <w:rsid w:val="00B07D4F"/>
    <w:rsid w:val="00B104CE"/>
    <w:rsid w:val="00B11DBB"/>
    <w:rsid w:val="00B12547"/>
    <w:rsid w:val="00B12A4E"/>
    <w:rsid w:val="00B12D80"/>
    <w:rsid w:val="00B143BB"/>
    <w:rsid w:val="00B1448C"/>
    <w:rsid w:val="00B145CE"/>
    <w:rsid w:val="00B14839"/>
    <w:rsid w:val="00B1617C"/>
    <w:rsid w:val="00B17760"/>
    <w:rsid w:val="00B22A4B"/>
    <w:rsid w:val="00B23497"/>
    <w:rsid w:val="00B239B1"/>
    <w:rsid w:val="00B24574"/>
    <w:rsid w:val="00B25935"/>
    <w:rsid w:val="00B261CC"/>
    <w:rsid w:val="00B27006"/>
    <w:rsid w:val="00B2778C"/>
    <w:rsid w:val="00B35F80"/>
    <w:rsid w:val="00B3745B"/>
    <w:rsid w:val="00B374E0"/>
    <w:rsid w:val="00B37BE7"/>
    <w:rsid w:val="00B403B6"/>
    <w:rsid w:val="00B4316B"/>
    <w:rsid w:val="00B4548F"/>
    <w:rsid w:val="00B45A4B"/>
    <w:rsid w:val="00B4619B"/>
    <w:rsid w:val="00B51153"/>
    <w:rsid w:val="00B5240F"/>
    <w:rsid w:val="00B52757"/>
    <w:rsid w:val="00B532CD"/>
    <w:rsid w:val="00B5426B"/>
    <w:rsid w:val="00B548A4"/>
    <w:rsid w:val="00B553F2"/>
    <w:rsid w:val="00B55617"/>
    <w:rsid w:val="00B55BE7"/>
    <w:rsid w:val="00B5682E"/>
    <w:rsid w:val="00B57A90"/>
    <w:rsid w:val="00B604F8"/>
    <w:rsid w:val="00B61287"/>
    <w:rsid w:val="00B63862"/>
    <w:rsid w:val="00B64415"/>
    <w:rsid w:val="00B6708B"/>
    <w:rsid w:val="00B70991"/>
    <w:rsid w:val="00B70B64"/>
    <w:rsid w:val="00B70E3F"/>
    <w:rsid w:val="00B70FAE"/>
    <w:rsid w:val="00B72418"/>
    <w:rsid w:val="00B73073"/>
    <w:rsid w:val="00B7350A"/>
    <w:rsid w:val="00B765AB"/>
    <w:rsid w:val="00B76DE1"/>
    <w:rsid w:val="00B77EED"/>
    <w:rsid w:val="00B80622"/>
    <w:rsid w:val="00B8240E"/>
    <w:rsid w:val="00B83321"/>
    <w:rsid w:val="00B833D4"/>
    <w:rsid w:val="00B85D69"/>
    <w:rsid w:val="00B870A3"/>
    <w:rsid w:val="00B9152A"/>
    <w:rsid w:val="00B917A6"/>
    <w:rsid w:val="00B926EB"/>
    <w:rsid w:val="00B92CBB"/>
    <w:rsid w:val="00B95844"/>
    <w:rsid w:val="00B95AFF"/>
    <w:rsid w:val="00B96693"/>
    <w:rsid w:val="00B96847"/>
    <w:rsid w:val="00B96E8D"/>
    <w:rsid w:val="00B9756E"/>
    <w:rsid w:val="00B97FD5"/>
    <w:rsid w:val="00BA00B9"/>
    <w:rsid w:val="00BA2F11"/>
    <w:rsid w:val="00BA30C7"/>
    <w:rsid w:val="00BA3362"/>
    <w:rsid w:val="00BA380C"/>
    <w:rsid w:val="00BA39D5"/>
    <w:rsid w:val="00BA42F9"/>
    <w:rsid w:val="00BA5448"/>
    <w:rsid w:val="00BA5CF0"/>
    <w:rsid w:val="00BA5F95"/>
    <w:rsid w:val="00BA7F18"/>
    <w:rsid w:val="00BB136F"/>
    <w:rsid w:val="00BB1FA8"/>
    <w:rsid w:val="00BB287E"/>
    <w:rsid w:val="00BB6324"/>
    <w:rsid w:val="00BC01BD"/>
    <w:rsid w:val="00BC0CEC"/>
    <w:rsid w:val="00BC1FE6"/>
    <w:rsid w:val="00BC2A8E"/>
    <w:rsid w:val="00BC3F06"/>
    <w:rsid w:val="00BC4264"/>
    <w:rsid w:val="00BC51F6"/>
    <w:rsid w:val="00BC5D26"/>
    <w:rsid w:val="00BC7951"/>
    <w:rsid w:val="00BD0535"/>
    <w:rsid w:val="00BD0683"/>
    <w:rsid w:val="00BD06CF"/>
    <w:rsid w:val="00BD1422"/>
    <w:rsid w:val="00BD1B84"/>
    <w:rsid w:val="00BD3BF4"/>
    <w:rsid w:val="00BD4257"/>
    <w:rsid w:val="00BD551F"/>
    <w:rsid w:val="00BE0918"/>
    <w:rsid w:val="00BE1EB5"/>
    <w:rsid w:val="00BE202D"/>
    <w:rsid w:val="00BE387A"/>
    <w:rsid w:val="00BE4193"/>
    <w:rsid w:val="00BE4D2E"/>
    <w:rsid w:val="00BE6971"/>
    <w:rsid w:val="00BE6EE9"/>
    <w:rsid w:val="00BE7C1B"/>
    <w:rsid w:val="00BF078E"/>
    <w:rsid w:val="00BF0C6F"/>
    <w:rsid w:val="00BF115C"/>
    <w:rsid w:val="00BF3214"/>
    <w:rsid w:val="00BF5A16"/>
    <w:rsid w:val="00C005F2"/>
    <w:rsid w:val="00C01F3D"/>
    <w:rsid w:val="00C02A2B"/>
    <w:rsid w:val="00C04284"/>
    <w:rsid w:val="00C05207"/>
    <w:rsid w:val="00C054A3"/>
    <w:rsid w:val="00C056F8"/>
    <w:rsid w:val="00C12580"/>
    <w:rsid w:val="00C1272A"/>
    <w:rsid w:val="00C1285B"/>
    <w:rsid w:val="00C13AED"/>
    <w:rsid w:val="00C15418"/>
    <w:rsid w:val="00C1562D"/>
    <w:rsid w:val="00C23221"/>
    <w:rsid w:val="00C244DE"/>
    <w:rsid w:val="00C25D20"/>
    <w:rsid w:val="00C26C07"/>
    <w:rsid w:val="00C3086C"/>
    <w:rsid w:val="00C30EA1"/>
    <w:rsid w:val="00C3263A"/>
    <w:rsid w:val="00C33D4D"/>
    <w:rsid w:val="00C35372"/>
    <w:rsid w:val="00C35B7A"/>
    <w:rsid w:val="00C36439"/>
    <w:rsid w:val="00C42CC3"/>
    <w:rsid w:val="00C438EC"/>
    <w:rsid w:val="00C43BFF"/>
    <w:rsid w:val="00C43C6F"/>
    <w:rsid w:val="00C45E79"/>
    <w:rsid w:val="00C465E8"/>
    <w:rsid w:val="00C4740B"/>
    <w:rsid w:val="00C47487"/>
    <w:rsid w:val="00C4795B"/>
    <w:rsid w:val="00C509AF"/>
    <w:rsid w:val="00C52FC5"/>
    <w:rsid w:val="00C53C75"/>
    <w:rsid w:val="00C53E1E"/>
    <w:rsid w:val="00C54A02"/>
    <w:rsid w:val="00C562B2"/>
    <w:rsid w:val="00C57BD4"/>
    <w:rsid w:val="00C6096E"/>
    <w:rsid w:val="00C61CE0"/>
    <w:rsid w:val="00C62506"/>
    <w:rsid w:val="00C637E9"/>
    <w:rsid w:val="00C643A2"/>
    <w:rsid w:val="00C6596B"/>
    <w:rsid w:val="00C65E1D"/>
    <w:rsid w:val="00C66747"/>
    <w:rsid w:val="00C670D7"/>
    <w:rsid w:val="00C70F32"/>
    <w:rsid w:val="00C71C47"/>
    <w:rsid w:val="00C71F8D"/>
    <w:rsid w:val="00C7277B"/>
    <w:rsid w:val="00C73583"/>
    <w:rsid w:val="00C762BE"/>
    <w:rsid w:val="00C7754B"/>
    <w:rsid w:val="00C806E5"/>
    <w:rsid w:val="00C80AB8"/>
    <w:rsid w:val="00C80FE0"/>
    <w:rsid w:val="00C83087"/>
    <w:rsid w:val="00C838FB"/>
    <w:rsid w:val="00C83F3D"/>
    <w:rsid w:val="00C846CB"/>
    <w:rsid w:val="00C85B02"/>
    <w:rsid w:val="00C87E6C"/>
    <w:rsid w:val="00C90395"/>
    <w:rsid w:val="00C908BA"/>
    <w:rsid w:val="00C913E1"/>
    <w:rsid w:val="00C921C1"/>
    <w:rsid w:val="00C934DA"/>
    <w:rsid w:val="00C9361E"/>
    <w:rsid w:val="00C97656"/>
    <w:rsid w:val="00CA0C5D"/>
    <w:rsid w:val="00CA0E7E"/>
    <w:rsid w:val="00CA188B"/>
    <w:rsid w:val="00CA6BA8"/>
    <w:rsid w:val="00CA6FD3"/>
    <w:rsid w:val="00CA74A2"/>
    <w:rsid w:val="00CA7D02"/>
    <w:rsid w:val="00CA7F45"/>
    <w:rsid w:val="00CB15BC"/>
    <w:rsid w:val="00CB16E0"/>
    <w:rsid w:val="00CB2757"/>
    <w:rsid w:val="00CB3D8B"/>
    <w:rsid w:val="00CB482E"/>
    <w:rsid w:val="00CB53B5"/>
    <w:rsid w:val="00CB5BCA"/>
    <w:rsid w:val="00CB65FE"/>
    <w:rsid w:val="00CC037E"/>
    <w:rsid w:val="00CC0834"/>
    <w:rsid w:val="00CC0BD1"/>
    <w:rsid w:val="00CC0D9C"/>
    <w:rsid w:val="00CC1C15"/>
    <w:rsid w:val="00CC27AB"/>
    <w:rsid w:val="00CC33BA"/>
    <w:rsid w:val="00CC3EE5"/>
    <w:rsid w:val="00CC4599"/>
    <w:rsid w:val="00CC4C71"/>
    <w:rsid w:val="00CC4DEB"/>
    <w:rsid w:val="00CC50C7"/>
    <w:rsid w:val="00CD1747"/>
    <w:rsid w:val="00CD1FDC"/>
    <w:rsid w:val="00CD4A5E"/>
    <w:rsid w:val="00CD65E8"/>
    <w:rsid w:val="00CD6E95"/>
    <w:rsid w:val="00CE0F17"/>
    <w:rsid w:val="00CE265A"/>
    <w:rsid w:val="00CE2A70"/>
    <w:rsid w:val="00CE2EE1"/>
    <w:rsid w:val="00CE341F"/>
    <w:rsid w:val="00CE36C7"/>
    <w:rsid w:val="00CE3771"/>
    <w:rsid w:val="00CE389E"/>
    <w:rsid w:val="00CE40AD"/>
    <w:rsid w:val="00CE4EF3"/>
    <w:rsid w:val="00CE5145"/>
    <w:rsid w:val="00CE54AA"/>
    <w:rsid w:val="00CE568D"/>
    <w:rsid w:val="00CE6509"/>
    <w:rsid w:val="00CE700E"/>
    <w:rsid w:val="00CF1273"/>
    <w:rsid w:val="00CF3041"/>
    <w:rsid w:val="00CF3621"/>
    <w:rsid w:val="00CF4CF1"/>
    <w:rsid w:val="00CF5174"/>
    <w:rsid w:val="00CF5E14"/>
    <w:rsid w:val="00CF5EFB"/>
    <w:rsid w:val="00CF6EF2"/>
    <w:rsid w:val="00D006D2"/>
    <w:rsid w:val="00D00C0E"/>
    <w:rsid w:val="00D02309"/>
    <w:rsid w:val="00D02C96"/>
    <w:rsid w:val="00D03527"/>
    <w:rsid w:val="00D03B67"/>
    <w:rsid w:val="00D03D5E"/>
    <w:rsid w:val="00D1061C"/>
    <w:rsid w:val="00D1180E"/>
    <w:rsid w:val="00D123B6"/>
    <w:rsid w:val="00D127B7"/>
    <w:rsid w:val="00D13658"/>
    <w:rsid w:val="00D13CB4"/>
    <w:rsid w:val="00D15A53"/>
    <w:rsid w:val="00D17224"/>
    <w:rsid w:val="00D17D69"/>
    <w:rsid w:val="00D203C8"/>
    <w:rsid w:val="00D2118B"/>
    <w:rsid w:val="00D21B74"/>
    <w:rsid w:val="00D23570"/>
    <w:rsid w:val="00D23805"/>
    <w:rsid w:val="00D23F0A"/>
    <w:rsid w:val="00D24EFA"/>
    <w:rsid w:val="00D2667E"/>
    <w:rsid w:val="00D26CC0"/>
    <w:rsid w:val="00D27867"/>
    <w:rsid w:val="00D310B8"/>
    <w:rsid w:val="00D31E50"/>
    <w:rsid w:val="00D35525"/>
    <w:rsid w:val="00D35B65"/>
    <w:rsid w:val="00D35B6A"/>
    <w:rsid w:val="00D36A9F"/>
    <w:rsid w:val="00D377B4"/>
    <w:rsid w:val="00D37DC8"/>
    <w:rsid w:val="00D423A8"/>
    <w:rsid w:val="00D43278"/>
    <w:rsid w:val="00D43309"/>
    <w:rsid w:val="00D43789"/>
    <w:rsid w:val="00D44BAD"/>
    <w:rsid w:val="00D50115"/>
    <w:rsid w:val="00D50D86"/>
    <w:rsid w:val="00D51A5E"/>
    <w:rsid w:val="00D526D0"/>
    <w:rsid w:val="00D52C89"/>
    <w:rsid w:val="00D54AB3"/>
    <w:rsid w:val="00D56584"/>
    <w:rsid w:val="00D57F6F"/>
    <w:rsid w:val="00D604D3"/>
    <w:rsid w:val="00D624AB"/>
    <w:rsid w:val="00D647DB"/>
    <w:rsid w:val="00D650C1"/>
    <w:rsid w:val="00D65E44"/>
    <w:rsid w:val="00D70EDF"/>
    <w:rsid w:val="00D72641"/>
    <w:rsid w:val="00D72A81"/>
    <w:rsid w:val="00D73526"/>
    <w:rsid w:val="00D75055"/>
    <w:rsid w:val="00D75A68"/>
    <w:rsid w:val="00D76407"/>
    <w:rsid w:val="00D77867"/>
    <w:rsid w:val="00D806DC"/>
    <w:rsid w:val="00D80759"/>
    <w:rsid w:val="00D816EE"/>
    <w:rsid w:val="00D827FF"/>
    <w:rsid w:val="00D842EE"/>
    <w:rsid w:val="00D84ABF"/>
    <w:rsid w:val="00D84CF9"/>
    <w:rsid w:val="00D86A8D"/>
    <w:rsid w:val="00D86B69"/>
    <w:rsid w:val="00D9153B"/>
    <w:rsid w:val="00D91659"/>
    <w:rsid w:val="00D91F5B"/>
    <w:rsid w:val="00D923BE"/>
    <w:rsid w:val="00D965B7"/>
    <w:rsid w:val="00DA064F"/>
    <w:rsid w:val="00DA1038"/>
    <w:rsid w:val="00DA3331"/>
    <w:rsid w:val="00DA572A"/>
    <w:rsid w:val="00DA6CA4"/>
    <w:rsid w:val="00DA75B6"/>
    <w:rsid w:val="00DB1273"/>
    <w:rsid w:val="00DB286D"/>
    <w:rsid w:val="00DB316C"/>
    <w:rsid w:val="00DB4E7E"/>
    <w:rsid w:val="00DB534A"/>
    <w:rsid w:val="00DB57E0"/>
    <w:rsid w:val="00DB6773"/>
    <w:rsid w:val="00DB7087"/>
    <w:rsid w:val="00DC0118"/>
    <w:rsid w:val="00DC0363"/>
    <w:rsid w:val="00DC238E"/>
    <w:rsid w:val="00DC25FA"/>
    <w:rsid w:val="00DC284C"/>
    <w:rsid w:val="00DC33CD"/>
    <w:rsid w:val="00DC42DA"/>
    <w:rsid w:val="00DC5A22"/>
    <w:rsid w:val="00DC77E1"/>
    <w:rsid w:val="00DC7A2B"/>
    <w:rsid w:val="00DD007D"/>
    <w:rsid w:val="00DD0499"/>
    <w:rsid w:val="00DD21E4"/>
    <w:rsid w:val="00DD2510"/>
    <w:rsid w:val="00DD289B"/>
    <w:rsid w:val="00DD2A3D"/>
    <w:rsid w:val="00DD5405"/>
    <w:rsid w:val="00DD60B1"/>
    <w:rsid w:val="00DD649F"/>
    <w:rsid w:val="00DD697C"/>
    <w:rsid w:val="00DD7410"/>
    <w:rsid w:val="00DE28BF"/>
    <w:rsid w:val="00DE2D73"/>
    <w:rsid w:val="00DE3392"/>
    <w:rsid w:val="00DE4BFD"/>
    <w:rsid w:val="00DE6BB1"/>
    <w:rsid w:val="00DF0800"/>
    <w:rsid w:val="00DF1296"/>
    <w:rsid w:val="00DF29A2"/>
    <w:rsid w:val="00DF5F79"/>
    <w:rsid w:val="00DF64BB"/>
    <w:rsid w:val="00DF6CE2"/>
    <w:rsid w:val="00DF7411"/>
    <w:rsid w:val="00DF7508"/>
    <w:rsid w:val="00E05816"/>
    <w:rsid w:val="00E0600A"/>
    <w:rsid w:val="00E060C3"/>
    <w:rsid w:val="00E0690C"/>
    <w:rsid w:val="00E110CF"/>
    <w:rsid w:val="00E1454E"/>
    <w:rsid w:val="00E14557"/>
    <w:rsid w:val="00E1580E"/>
    <w:rsid w:val="00E15FE3"/>
    <w:rsid w:val="00E160ED"/>
    <w:rsid w:val="00E16409"/>
    <w:rsid w:val="00E20E7F"/>
    <w:rsid w:val="00E211B2"/>
    <w:rsid w:val="00E2129E"/>
    <w:rsid w:val="00E231D2"/>
    <w:rsid w:val="00E233F4"/>
    <w:rsid w:val="00E237C7"/>
    <w:rsid w:val="00E239A3"/>
    <w:rsid w:val="00E24428"/>
    <w:rsid w:val="00E248C8"/>
    <w:rsid w:val="00E25313"/>
    <w:rsid w:val="00E274CD"/>
    <w:rsid w:val="00E27F43"/>
    <w:rsid w:val="00E307D7"/>
    <w:rsid w:val="00E354B8"/>
    <w:rsid w:val="00E37CFF"/>
    <w:rsid w:val="00E4004F"/>
    <w:rsid w:val="00E4274F"/>
    <w:rsid w:val="00E436F8"/>
    <w:rsid w:val="00E4687A"/>
    <w:rsid w:val="00E511F8"/>
    <w:rsid w:val="00E53BB0"/>
    <w:rsid w:val="00E54619"/>
    <w:rsid w:val="00E54AF5"/>
    <w:rsid w:val="00E57E4E"/>
    <w:rsid w:val="00E605C5"/>
    <w:rsid w:val="00E60AA7"/>
    <w:rsid w:val="00E61634"/>
    <w:rsid w:val="00E61C75"/>
    <w:rsid w:val="00E63878"/>
    <w:rsid w:val="00E63F6C"/>
    <w:rsid w:val="00E65DE2"/>
    <w:rsid w:val="00E66895"/>
    <w:rsid w:val="00E710A7"/>
    <w:rsid w:val="00E75FE6"/>
    <w:rsid w:val="00E76743"/>
    <w:rsid w:val="00E77F1A"/>
    <w:rsid w:val="00E80909"/>
    <w:rsid w:val="00E81C37"/>
    <w:rsid w:val="00E81FD9"/>
    <w:rsid w:val="00E821AA"/>
    <w:rsid w:val="00E83616"/>
    <w:rsid w:val="00E84FF2"/>
    <w:rsid w:val="00E868D0"/>
    <w:rsid w:val="00E91018"/>
    <w:rsid w:val="00E917FE"/>
    <w:rsid w:val="00E92751"/>
    <w:rsid w:val="00E9291F"/>
    <w:rsid w:val="00E9468E"/>
    <w:rsid w:val="00E94E7E"/>
    <w:rsid w:val="00E95CFE"/>
    <w:rsid w:val="00E96914"/>
    <w:rsid w:val="00E97CEF"/>
    <w:rsid w:val="00EA17C2"/>
    <w:rsid w:val="00EA1961"/>
    <w:rsid w:val="00EA3EBD"/>
    <w:rsid w:val="00EA458C"/>
    <w:rsid w:val="00EA48FA"/>
    <w:rsid w:val="00EA4F1D"/>
    <w:rsid w:val="00EA5493"/>
    <w:rsid w:val="00EA64CD"/>
    <w:rsid w:val="00EA6D83"/>
    <w:rsid w:val="00EB0159"/>
    <w:rsid w:val="00EB054D"/>
    <w:rsid w:val="00EB139C"/>
    <w:rsid w:val="00EB3312"/>
    <w:rsid w:val="00EB55B7"/>
    <w:rsid w:val="00EB5842"/>
    <w:rsid w:val="00EB6F39"/>
    <w:rsid w:val="00EC00D1"/>
    <w:rsid w:val="00EC104B"/>
    <w:rsid w:val="00EC1745"/>
    <w:rsid w:val="00EC1F72"/>
    <w:rsid w:val="00EC3165"/>
    <w:rsid w:val="00EC3BC8"/>
    <w:rsid w:val="00EC3D65"/>
    <w:rsid w:val="00EC7DC2"/>
    <w:rsid w:val="00EC7FD4"/>
    <w:rsid w:val="00ED05D6"/>
    <w:rsid w:val="00ED0B44"/>
    <w:rsid w:val="00ED4441"/>
    <w:rsid w:val="00ED4D56"/>
    <w:rsid w:val="00ED4EE1"/>
    <w:rsid w:val="00ED6D1F"/>
    <w:rsid w:val="00EE13BF"/>
    <w:rsid w:val="00EE2A41"/>
    <w:rsid w:val="00EE3ACE"/>
    <w:rsid w:val="00EE3F23"/>
    <w:rsid w:val="00EE4773"/>
    <w:rsid w:val="00EE5369"/>
    <w:rsid w:val="00EE5D24"/>
    <w:rsid w:val="00EE5EC2"/>
    <w:rsid w:val="00EE6EC0"/>
    <w:rsid w:val="00EE7657"/>
    <w:rsid w:val="00EE7BDB"/>
    <w:rsid w:val="00EE7FE6"/>
    <w:rsid w:val="00EF2FA9"/>
    <w:rsid w:val="00EF49CE"/>
    <w:rsid w:val="00EF4D7D"/>
    <w:rsid w:val="00EF56B9"/>
    <w:rsid w:val="00EF6691"/>
    <w:rsid w:val="00EF66F6"/>
    <w:rsid w:val="00EF7FF5"/>
    <w:rsid w:val="00F001E0"/>
    <w:rsid w:val="00F008C4"/>
    <w:rsid w:val="00F00BBA"/>
    <w:rsid w:val="00F02755"/>
    <w:rsid w:val="00F042C7"/>
    <w:rsid w:val="00F04533"/>
    <w:rsid w:val="00F04B9F"/>
    <w:rsid w:val="00F059D3"/>
    <w:rsid w:val="00F05DA1"/>
    <w:rsid w:val="00F060F7"/>
    <w:rsid w:val="00F0691F"/>
    <w:rsid w:val="00F06CAA"/>
    <w:rsid w:val="00F11F1B"/>
    <w:rsid w:val="00F125B5"/>
    <w:rsid w:val="00F12A5F"/>
    <w:rsid w:val="00F14344"/>
    <w:rsid w:val="00F14D92"/>
    <w:rsid w:val="00F1548A"/>
    <w:rsid w:val="00F16E1A"/>
    <w:rsid w:val="00F2056C"/>
    <w:rsid w:val="00F219E5"/>
    <w:rsid w:val="00F22FEA"/>
    <w:rsid w:val="00F23EE8"/>
    <w:rsid w:val="00F24272"/>
    <w:rsid w:val="00F24585"/>
    <w:rsid w:val="00F24FFC"/>
    <w:rsid w:val="00F269F2"/>
    <w:rsid w:val="00F273CF"/>
    <w:rsid w:val="00F27DA6"/>
    <w:rsid w:val="00F30983"/>
    <w:rsid w:val="00F33253"/>
    <w:rsid w:val="00F34438"/>
    <w:rsid w:val="00F34940"/>
    <w:rsid w:val="00F357C0"/>
    <w:rsid w:val="00F365CD"/>
    <w:rsid w:val="00F36AD6"/>
    <w:rsid w:val="00F4023D"/>
    <w:rsid w:val="00F4069F"/>
    <w:rsid w:val="00F41768"/>
    <w:rsid w:val="00F41ACF"/>
    <w:rsid w:val="00F42152"/>
    <w:rsid w:val="00F4322D"/>
    <w:rsid w:val="00F43AEB"/>
    <w:rsid w:val="00F4491F"/>
    <w:rsid w:val="00F44C46"/>
    <w:rsid w:val="00F44D5B"/>
    <w:rsid w:val="00F45296"/>
    <w:rsid w:val="00F45733"/>
    <w:rsid w:val="00F458FC"/>
    <w:rsid w:val="00F45F1A"/>
    <w:rsid w:val="00F4655E"/>
    <w:rsid w:val="00F467BB"/>
    <w:rsid w:val="00F4729E"/>
    <w:rsid w:val="00F47A67"/>
    <w:rsid w:val="00F501D1"/>
    <w:rsid w:val="00F526F1"/>
    <w:rsid w:val="00F54E77"/>
    <w:rsid w:val="00F55493"/>
    <w:rsid w:val="00F60A91"/>
    <w:rsid w:val="00F6353A"/>
    <w:rsid w:val="00F63E84"/>
    <w:rsid w:val="00F6417E"/>
    <w:rsid w:val="00F645F3"/>
    <w:rsid w:val="00F646DD"/>
    <w:rsid w:val="00F64A80"/>
    <w:rsid w:val="00F65C87"/>
    <w:rsid w:val="00F670C5"/>
    <w:rsid w:val="00F678B1"/>
    <w:rsid w:val="00F7128B"/>
    <w:rsid w:val="00F72361"/>
    <w:rsid w:val="00F725B9"/>
    <w:rsid w:val="00F74F9F"/>
    <w:rsid w:val="00F758F2"/>
    <w:rsid w:val="00F75991"/>
    <w:rsid w:val="00F75B07"/>
    <w:rsid w:val="00F75D05"/>
    <w:rsid w:val="00F75EBF"/>
    <w:rsid w:val="00F76689"/>
    <w:rsid w:val="00F76A67"/>
    <w:rsid w:val="00F778FC"/>
    <w:rsid w:val="00F814AD"/>
    <w:rsid w:val="00F81985"/>
    <w:rsid w:val="00F819A9"/>
    <w:rsid w:val="00F82161"/>
    <w:rsid w:val="00F82173"/>
    <w:rsid w:val="00F823CF"/>
    <w:rsid w:val="00F826EF"/>
    <w:rsid w:val="00F848C8"/>
    <w:rsid w:val="00F84E13"/>
    <w:rsid w:val="00F85163"/>
    <w:rsid w:val="00F8516C"/>
    <w:rsid w:val="00F8578C"/>
    <w:rsid w:val="00F864D4"/>
    <w:rsid w:val="00F8701E"/>
    <w:rsid w:val="00F90248"/>
    <w:rsid w:val="00F91F89"/>
    <w:rsid w:val="00F92EEF"/>
    <w:rsid w:val="00F9373B"/>
    <w:rsid w:val="00F94007"/>
    <w:rsid w:val="00F95E3F"/>
    <w:rsid w:val="00F95F03"/>
    <w:rsid w:val="00F961EC"/>
    <w:rsid w:val="00F9677E"/>
    <w:rsid w:val="00F97991"/>
    <w:rsid w:val="00FA00EC"/>
    <w:rsid w:val="00FA0F61"/>
    <w:rsid w:val="00FA13BE"/>
    <w:rsid w:val="00FA3E43"/>
    <w:rsid w:val="00FA3EA9"/>
    <w:rsid w:val="00FA4467"/>
    <w:rsid w:val="00FA531C"/>
    <w:rsid w:val="00FA54C9"/>
    <w:rsid w:val="00FA5A7E"/>
    <w:rsid w:val="00FA64B1"/>
    <w:rsid w:val="00FA68CA"/>
    <w:rsid w:val="00FA72EA"/>
    <w:rsid w:val="00FB062B"/>
    <w:rsid w:val="00FB0A22"/>
    <w:rsid w:val="00FB0E1C"/>
    <w:rsid w:val="00FB14AC"/>
    <w:rsid w:val="00FB30A0"/>
    <w:rsid w:val="00FB50B1"/>
    <w:rsid w:val="00FB63A5"/>
    <w:rsid w:val="00FB79A9"/>
    <w:rsid w:val="00FC0F70"/>
    <w:rsid w:val="00FC2127"/>
    <w:rsid w:val="00FC25C0"/>
    <w:rsid w:val="00FC3FF6"/>
    <w:rsid w:val="00FC4769"/>
    <w:rsid w:val="00FC48CB"/>
    <w:rsid w:val="00FC5B0A"/>
    <w:rsid w:val="00FC5C9D"/>
    <w:rsid w:val="00FC6EF8"/>
    <w:rsid w:val="00FC73C7"/>
    <w:rsid w:val="00FC74C5"/>
    <w:rsid w:val="00FC7DB5"/>
    <w:rsid w:val="00FD072A"/>
    <w:rsid w:val="00FD134A"/>
    <w:rsid w:val="00FD4023"/>
    <w:rsid w:val="00FD507F"/>
    <w:rsid w:val="00FD604C"/>
    <w:rsid w:val="00FD6936"/>
    <w:rsid w:val="00FD714C"/>
    <w:rsid w:val="00FE02EB"/>
    <w:rsid w:val="00FE03F0"/>
    <w:rsid w:val="00FE0AC9"/>
    <w:rsid w:val="00FE146A"/>
    <w:rsid w:val="00FE2A54"/>
    <w:rsid w:val="00FE3590"/>
    <w:rsid w:val="00FE367A"/>
    <w:rsid w:val="00FE36F3"/>
    <w:rsid w:val="00FE56F2"/>
    <w:rsid w:val="00FE58D6"/>
    <w:rsid w:val="00FE6610"/>
    <w:rsid w:val="00FE7BF6"/>
    <w:rsid w:val="00FF2835"/>
    <w:rsid w:val="00FF287C"/>
    <w:rsid w:val="00FF3DF0"/>
    <w:rsid w:val="00FF486A"/>
    <w:rsid w:val="00FF5BC9"/>
    <w:rsid w:val="00FF6F57"/>
    <w:rsid w:val="00FF7E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92F6F1B-B656-4A86-98CB-A67F4F1BC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48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F66F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758B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4B5D1D"/>
    <w:pPr>
      <w:keepNext/>
      <w:keepLines/>
      <w:spacing w:before="40" w:after="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uiPriority w:val="9"/>
    <w:unhideWhenUsed/>
    <w:qFormat/>
    <w:rsid w:val="004B5D1D"/>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66F6"/>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1E11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11D0"/>
  </w:style>
  <w:style w:type="paragraph" w:styleId="Footer">
    <w:name w:val="footer"/>
    <w:basedOn w:val="Normal"/>
    <w:link w:val="FooterChar"/>
    <w:uiPriority w:val="99"/>
    <w:unhideWhenUsed/>
    <w:rsid w:val="001E11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11D0"/>
  </w:style>
  <w:style w:type="character" w:styleId="Hyperlink">
    <w:name w:val="Hyperlink"/>
    <w:basedOn w:val="DefaultParagraphFont"/>
    <w:uiPriority w:val="99"/>
    <w:unhideWhenUsed/>
    <w:rsid w:val="009A27A3"/>
    <w:rPr>
      <w:color w:val="0563C1" w:themeColor="hyperlink"/>
      <w:u w:val="single"/>
    </w:rPr>
  </w:style>
  <w:style w:type="character" w:customStyle="1" w:styleId="identifier">
    <w:name w:val="identifier"/>
    <w:basedOn w:val="DefaultParagraphFont"/>
    <w:rsid w:val="00BC0CEC"/>
  </w:style>
  <w:style w:type="paragraph" w:styleId="ListParagraph">
    <w:name w:val="List Paragraph"/>
    <w:basedOn w:val="Normal"/>
    <w:uiPriority w:val="34"/>
    <w:qFormat/>
    <w:rsid w:val="00594E57"/>
    <w:pPr>
      <w:ind w:left="720"/>
      <w:contextualSpacing/>
    </w:pPr>
  </w:style>
  <w:style w:type="character" w:customStyle="1" w:styleId="Heading2Char">
    <w:name w:val="Heading 2 Char"/>
    <w:basedOn w:val="DefaultParagraphFont"/>
    <w:link w:val="Heading2"/>
    <w:uiPriority w:val="9"/>
    <w:rsid w:val="004758BC"/>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4B5D1D"/>
    <w:rPr>
      <w:rFonts w:asciiTheme="majorHAnsi" w:eastAsiaTheme="majorEastAsia" w:hAnsiTheme="majorHAnsi" w:cstheme="majorBidi"/>
      <w:color w:val="1F4D78" w:themeColor="accent1" w:themeShade="7F"/>
      <w:szCs w:val="24"/>
    </w:rPr>
  </w:style>
  <w:style w:type="character" w:customStyle="1" w:styleId="Heading4Char">
    <w:name w:val="Heading 4 Char"/>
    <w:basedOn w:val="DefaultParagraphFont"/>
    <w:link w:val="Heading4"/>
    <w:uiPriority w:val="9"/>
    <w:rsid w:val="004B5D1D"/>
    <w:rPr>
      <w:rFonts w:asciiTheme="majorHAnsi" w:eastAsiaTheme="majorEastAsia" w:hAnsiTheme="majorHAnsi" w:cstheme="majorBidi"/>
      <w:i/>
      <w:iCs/>
      <w:color w:val="2E74B5" w:themeColor="accent1" w:themeShade="BF"/>
    </w:rPr>
  </w:style>
  <w:style w:type="table" w:styleId="TableGrid">
    <w:name w:val="Table Grid"/>
    <w:basedOn w:val="TableNormal"/>
    <w:uiPriority w:val="59"/>
    <w:rsid w:val="00F44C46"/>
    <w:pPr>
      <w:spacing w:after="0" w:line="240" w:lineRule="auto"/>
      <w:jc w:val="left"/>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31001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940557">
      <w:bodyDiv w:val="1"/>
      <w:marLeft w:val="0"/>
      <w:marRight w:val="0"/>
      <w:marTop w:val="0"/>
      <w:marBottom w:val="0"/>
      <w:divBdr>
        <w:top w:val="none" w:sz="0" w:space="0" w:color="auto"/>
        <w:left w:val="none" w:sz="0" w:space="0" w:color="auto"/>
        <w:bottom w:val="none" w:sz="0" w:space="0" w:color="auto"/>
        <w:right w:val="none" w:sz="0" w:space="0" w:color="auto"/>
      </w:divBdr>
      <w:divsChild>
        <w:div w:id="856885883">
          <w:marLeft w:val="0"/>
          <w:marRight w:val="0"/>
          <w:marTop w:val="0"/>
          <w:marBottom w:val="0"/>
          <w:divBdr>
            <w:top w:val="none" w:sz="0" w:space="0" w:color="auto"/>
            <w:left w:val="none" w:sz="0" w:space="0" w:color="auto"/>
            <w:bottom w:val="none" w:sz="0" w:space="0" w:color="auto"/>
            <w:right w:val="none" w:sz="0" w:space="0" w:color="auto"/>
          </w:divBdr>
        </w:div>
      </w:divsChild>
    </w:div>
    <w:div w:id="1548757481">
      <w:bodyDiv w:val="1"/>
      <w:marLeft w:val="0"/>
      <w:marRight w:val="0"/>
      <w:marTop w:val="0"/>
      <w:marBottom w:val="0"/>
      <w:divBdr>
        <w:top w:val="none" w:sz="0" w:space="0" w:color="auto"/>
        <w:left w:val="none" w:sz="0" w:space="0" w:color="auto"/>
        <w:bottom w:val="none" w:sz="0" w:space="0" w:color="auto"/>
        <w:right w:val="none" w:sz="0" w:space="0" w:color="auto"/>
      </w:divBdr>
    </w:div>
    <w:div w:id="1698120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07/s10668-012-9418-9" TargetMode="External"/><Relationship Id="rId18" Type="http://schemas.openxmlformats.org/officeDocument/2006/relationships/hyperlink" Target="https://doi.org/10.1080/09595237700185041" TargetMode="External"/><Relationship Id="rId26" Type="http://schemas.openxmlformats.org/officeDocument/2006/relationships/hyperlink" Target="https://doi.org/10.1111/j.1440-1584.1998.tb00315.x" TargetMode="External"/><Relationship Id="rId3" Type="http://schemas.openxmlformats.org/officeDocument/2006/relationships/styles" Target="styles.xml"/><Relationship Id="rId21" Type="http://schemas.openxmlformats.org/officeDocument/2006/relationships/hyperlink" Target="https://doi.org/10.1016/j.jrurstud.2011.05.004"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doi.org/10.1016/j.jrurstud.2009.02.003" TargetMode="External"/><Relationship Id="rId17" Type="http://schemas.openxmlformats.org/officeDocument/2006/relationships/hyperlink" Target="https://doi.org/10.1016/s0749-3797(01)00349-x" TargetMode="External"/><Relationship Id="rId25" Type="http://schemas.openxmlformats.org/officeDocument/2006/relationships/hyperlink" Target="https://www.researchgate.net/publication/286949940_Rurality_in_England_and_Wales_1991_a_replication_and_expansion_of_the_1981_rurality_index"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doi.org/10.1080/00343409850123035" TargetMode="External"/><Relationship Id="rId20" Type="http://schemas.openxmlformats.org/officeDocument/2006/relationships/hyperlink" Target="https://doi.org/10.1068/c9826" TargetMode="External"/><Relationship Id="rId29" Type="http://schemas.openxmlformats.org/officeDocument/2006/relationships/hyperlink" Target="http://www.jstor.org/stable/2752222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itypopulation.de/en/bangladesh/khulna/admin/01__bagerhat/" TargetMode="External"/><Relationship Id="rId24" Type="http://schemas.openxmlformats.org/officeDocument/2006/relationships/hyperlink" Target="https://doi.org/10.3390/su12177054" TargetMode="External"/><Relationship Id="rId32" Type="http://schemas.openxmlformats.org/officeDocument/2006/relationships/hyperlink" Target="https://doi.org/10.1016/0168-8510(93)90075-Z" TargetMode="External"/><Relationship Id="rId5" Type="http://schemas.openxmlformats.org/officeDocument/2006/relationships/webSettings" Target="webSettings.xml"/><Relationship Id="rId15" Type="http://schemas.openxmlformats.org/officeDocument/2006/relationships/hyperlink" Target="https://doi.org/10.1177%2F0265813515605096" TargetMode="External"/><Relationship Id="rId23" Type="http://schemas.openxmlformats.org/officeDocument/2006/relationships/hyperlink" Target="https://doi.org/10.1016/0743-0167(93)90003-3" TargetMode="External"/><Relationship Id="rId28" Type="http://schemas.openxmlformats.org/officeDocument/2006/relationships/hyperlink" Target="https://www.researchgate.net/deref/http%3A%2F%2Fdx.doi.org%2F10.1068%2Fa32130" TargetMode="External"/><Relationship Id="rId10" Type="http://schemas.openxmlformats.org/officeDocument/2006/relationships/image" Target="media/image3.png"/><Relationship Id="rId19" Type="http://schemas.openxmlformats.org/officeDocument/2006/relationships/hyperlink" Target="https://doi.org/10.1080/09595238600185271" TargetMode="External"/><Relationship Id="rId31" Type="http://schemas.openxmlformats.org/officeDocument/2006/relationships/hyperlink" Target="http://dx.doi.org/10.22004/ag.econ.21383"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sciencedirect.com/science/article/pii/S0743016707000630" TargetMode="External"/><Relationship Id="rId22" Type="http://schemas.openxmlformats.org/officeDocument/2006/relationships/hyperlink" Target="https://doi.org/10.1016/j.gloenvcha.2008.11.002" TargetMode="External"/><Relationship Id="rId27" Type="http://schemas.openxmlformats.org/officeDocument/2006/relationships/hyperlink" Target="https://doi.org/10.1177%2F0160017605279000" TargetMode="External"/><Relationship Id="rId30" Type="http://schemas.openxmlformats.org/officeDocument/2006/relationships/hyperlink" Target="https://doi.org/10.1186/s13570-014-0010-9" TargetMode="Externa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DA8C85-C748-455C-9E60-A7B9FFB31B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36</Pages>
  <Words>9628</Words>
  <Characters>54886</Characters>
  <Application>Microsoft Office Word</Application>
  <DocSecurity>0</DocSecurity>
  <Lines>457</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Abdur Rahman AD</dc:creator>
  <cp:keywords/>
  <dc:description/>
  <cp:lastModifiedBy>Lenovo</cp:lastModifiedBy>
  <cp:revision>3</cp:revision>
  <dcterms:created xsi:type="dcterms:W3CDTF">2021-04-30T09:30:00Z</dcterms:created>
  <dcterms:modified xsi:type="dcterms:W3CDTF">2021-04-30T09:33:00Z</dcterms:modified>
</cp:coreProperties>
</file>