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ECF" w:rsidRPr="000638A0" w:rsidRDefault="00AA2E02" w:rsidP="00D96BF4">
      <w:pPr>
        <w:spacing w:line="240" w:lineRule="auto"/>
        <w:jc w:val="center"/>
        <w:rPr>
          <w:rFonts w:ascii="Times New Roman" w:eastAsia="Georgia" w:hAnsi="Times New Roman" w:cs="Times New Roman"/>
          <w:b/>
          <w:sz w:val="32"/>
          <w:szCs w:val="32"/>
        </w:rPr>
      </w:pPr>
      <w:r>
        <w:rPr>
          <w:rFonts w:ascii="Times New Roman" w:eastAsia="Georgia" w:hAnsi="Times New Roman" w:cs="Times New Roman"/>
          <w:b/>
          <w:sz w:val="32"/>
          <w:szCs w:val="32"/>
        </w:rPr>
        <w:t>Title:</w:t>
      </w:r>
      <w:r w:rsidRPr="000638A0">
        <w:rPr>
          <w:rFonts w:ascii="Times New Roman" w:eastAsia="Georgia" w:hAnsi="Times New Roman" w:cs="Times New Roman"/>
          <w:b/>
          <w:sz w:val="32"/>
          <w:szCs w:val="32"/>
        </w:rPr>
        <w:t xml:space="preserve"> Understanding</w:t>
      </w:r>
      <w:r w:rsidR="00A55ECF" w:rsidRPr="000638A0">
        <w:rPr>
          <w:rFonts w:ascii="Times New Roman" w:eastAsia="Georgia" w:hAnsi="Times New Roman" w:cs="Times New Roman"/>
          <w:b/>
          <w:sz w:val="32"/>
          <w:szCs w:val="32"/>
        </w:rPr>
        <w:t xml:space="preserve"> Fukuyama’s Liberalism:</w:t>
      </w:r>
    </w:p>
    <w:p w:rsidR="00A55ECF" w:rsidRPr="000638A0" w:rsidRDefault="00A55ECF" w:rsidP="00D96BF4">
      <w:pPr>
        <w:spacing w:line="240" w:lineRule="auto"/>
        <w:jc w:val="center"/>
        <w:rPr>
          <w:rFonts w:ascii="Times New Roman" w:eastAsia="Georgia" w:hAnsi="Times New Roman" w:cs="Times New Roman"/>
          <w:b/>
          <w:sz w:val="32"/>
          <w:szCs w:val="32"/>
        </w:rPr>
      </w:pPr>
      <w:r w:rsidRPr="000638A0">
        <w:rPr>
          <w:rFonts w:ascii="Times New Roman" w:eastAsia="Georgia" w:hAnsi="Times New Roman" w:cs="Times New Roman"/>
          <w:b/>
          <w:sz w:val="32"/>
          <w:szCs w:val="32"/>
        </w:rPr>
        <w:t>A Critical Perspective</w:t>
      </w:r>
    </w:p>
    <w:p w:rsidR="00A55ECF" w:rsidRPr="007E6578" w:rsidRDefault="00A55ECF" w:rsidP="00D96BF4">
      <w:pPr>
        <w:spacing w:line="480" w:lineRule="auto"/>
        <w:jc w:val="center"/>
        <w:rPr>
          <w:rFonts w:ascii="Times New Roman" w:eastAsia="Georgia" w:hAnsi="Times New Roman" w:cs="Times New Roman"/>
          <w:sz w:val="24"/>
          <w:szCs w:val="24"/>
        </w:rPr>
      </w:pPr>
    </w:p>
    <w:p w:rsidR="00A55ECF" w:rsidRDefault="00A55ECF" w:rsidP="00D96BF4">
      <w:pPr>
        <w:spacing w:line="480" w:lineRule="auto"/>
        <w:jc w:val="both"/>
        <w:rPr>
          <w:rFonts w:ascii="Times New Roman" w:eastAsia="Georgia" w:hAnsi="Times New Roman" w:cs="Times New Roman"/>
          <w:sz w:val="24"/>
          <w:szCs w:val="24"/>
        </w:rPr>
      </w:pPr>
    </w:p>
    <w:p w:rsidR="00A55ECF" w:rsidRDefault="00A55ECF" w:rsidP="00D96BF4">
      <w:pPr>
        <w:spacing w:line="360" w:lineRule="auto"/>
        <w:jc w:val="both"/>
        <w:rPr>
          <w:rFonts w:ascii="Times New Roman" w:eastAsia="Georgia" w:hAnsi="Times New Roman" w:cs="Times New Roman"/>
          <w:sz w:val="24"/>
          <w:szCs w:val="24"/>
        </w:rPr>
      </w:pPr>
      <w:r>
        <w:rPr>
          <w:rFonts w:ascii="Times New Roman" w:eastAsia="Georgia" w:hAnsi="Times New Roman" w:cs="Times New Roman"/>
          <w:sz w:val="24"/>
          <w:szCs w:val="24"/>
        </w:rPr>
        <w:t>First Author:</w:t>
      </w:r>
    </w:p>
    <w:p w:rsidR="00A55ECF" w:rsidRPr="00D96BF4" w:rsidRDefault="00A55ECF" w:rsidP="00D96BF4">
      <w:pPr>
        <w:spacing w:line="360" w:lineRule="auto"/>
        <w:jc w:val="both"/>
        <w:rPr>
          <w:rFonts w:ascii="Times New Roman" w:eastAsia="Georgia" w:hAnsi="Times New Roman" w:cs="Times New Roman"/>
          <w:b/>
          <w:sz w:val="24"/>
          <w:szCs w:val="24"/>
        </w:rPr>
      </w:pPr>
      <w:r w:rsidRPr="00D96BF4">
        <w:rPr>
          <w:rFonts w:ascii="Times New Roman" w:eastAsia="Georgia" w:hAnsi="Times New Roman" w:cs="Times New Roman"/>
          <w:b/>
          <w:sz w:val="24"/>
          <w:szCs w:val="24"/>
        </w:rPr>
        <w:t>Sudipta Debnath</w:t>
      </w:r>
    </w:p>
    <w:p w:rsidR="00A55ECF" w:rsidRPr="007E6578" w:rsidRDefault="00A55ECF" w:rsidP="00D96BF4">
      <w:pPr>
        <w:spacing w:line="360" w:lineRule="auto"/>
        <w:jc w:val="both"/>
        <w:rPr>
          <w:rFonts w:ascii="Times New Roman" w:eastAsia="Georgia" w:hAnsi="Times New Roman" w:cs="Times New Roman"/>
          <w:sz w:val="24"/>
          <w:szCs w:val="24"/>
        </w:rPr>
      </w:pPr>
      <w:r w:rsidRPr="007E6578">
        <w:rPr>
          <w:rFonts w:ascii="Times New Roman" w:eastAsia="Georgia" w:hAnsi="Times New Roman" w:cs="Times New Roman"/>
          <w:sz w:val="24"/>
          <w:szCs w:val="24"/>
        </w:rPr>
        <w:t>Email:</w:t>
      </w:r>
      <w:r>
        <w:rPr>
          <w:rFonts w:ascii="Times New Roman" w:eastAsia="Georgia" w:hAnsi="Times New Roman" w:cs="Times New Roman"/>
          <w:sz w:val="24"/>
          <w:szCs w:val="24"/>
        </w:rPr>
        <w:t xml:space="preserve"> </w:t>
      </w:r>
      <w:r w:rsidRPr="007E6578">
        <w:rPr>
          <w:rFonts w:ascii="Times New Roman" w:eastAsia="Georgia" w:hAnsi="Times New Roman" w:cs="Times New Roman"/>
          <w:sz w:val="24"/>
          <w:szCs w:val="24"/>
        </w:rPr>
        <w:t>sudiptadebnath.ku06@gmail.com</w:t>
      </w:r>
    </w:p>
    <w:p w:rsidR="00A55ECF" w:rsidRDefault="00A55ECF" w:rsidP="00D96BF4">
      <w:pPr>
        <w:spacing w:line="360" w:lineRule="auto"/>
        <w:jc w:val="both"/>
        <w:rPr>
          <w:rFonts w:ascii="Times New Roman" w:eastAsia="Georgia" w:hAnsi="Times New Roman" w:cs="Times New Roman"/>
          <w:sz w:val="24"/>
          <w:szCs w:val="24"/>
        </w:rPr>
      </w:pPr>
      <w:r w:rsidRPr="007E6578">
        <w:rPr>
          <w:rFonts w:ascii="Times New Roman" w:eastAsia="Georgia" w:hAnsi="Times New Roman" w:cs="Times New Roman"/>
          <w:sz w:val="24"/>
          <w:szCs w:val="24"/>
        </w:rPr>
        <w:t>Cell:</w:t>
      </w:r>
      <w:r>
        <w:rPr>
          <w:rFonts w:ascii="Times New Roman" w:eastAsia="Georgia" w:hAnsi="Times New Roman" w:cs="Times New Roman"/>
          <w:sz w:val="24"/>
          <w:szCs w:val="24"/>
        </w:rPr>
        <w:t xml:space="preserve"> </w:t>
      </w:r>
      <w:r w:rsidRPr="007E6578">
        <w:rPr>
          <w:rFonts w:ascii="Times New Roman" w:eastAsia="Georgia" w:hAnsi="Times New Roman" w:cs="Times New Roman"/>
          <w:sz w:val="24"/>
          <w:szCs w:val="24"/>
        </w:rPr>
        <w:t>01839262255</w:t>
      </w:r>
    </w:p>
    <w:p w:rsidR="00A55ECF" w:rsidRDefault="00A55ECF" w:rsidP="00D96BF4">
      <w:pPr>
        <w:spacing w:line="360" w:lineRule="auto"/>
        <w:jc w:val="both"/>
        <w:rPr>
          <w:rFonts w:ascii="Times New Roman" w:eastAsia="Georgia" w:hAnsi="Times New Roman" w:cs="Times New Roman"/>
          <w:sz w:val="24"/>
          <w:szCs w:val="24"/>
        </w:rPr>
      </w:pPr>
    </w:p>
    <w:p w:rsidR="00A55ECF" w:rsidRDefault="00A55ECF" w:rsidP="00D96BF4">
      <w:pPr>
        <w:spacing w:line="360" w:lineRule="auto"/>
        <w:jc w:val="both"/>
        <w:rPr>
          <w:rFonts w:ascii="Times New Roman" w:eastAsia="Georgia" w:hAnsi="Times New Roman" w:cs="Times New Roman"/>
          <w:sz w:val="24"/>
          <w:szCs w:val="24"/>
        </w:rPr>
      </w:pPr>
      <w:r>
        <w:rPr>
          <w:rFonts w:ascii="Times New Roman" w:eastAsia="Georgia" w:hAnsi="Times New Roman" w:cs="Times New Roman"/>
          <w:sz w:val="24"/>
          <w:szCs w:val="24"/>
        </w:rPr>
        <w:t>Corresponding Author:</w:t>
      </w:r>
    </w:p>
    <w:p w:rsidR="00A55ECF" w:rsidRPr="00D96BF4" w:rsidRDefault="00A55ECF" w:rsidP="00D96BF4">
      <w:pPr>
        <w:spacing w:line="360" w:lineRule="auto"/>
        <w:jc w:val="both"/>
        <w:rPr>
          <w:rFonts w:ascii="Times New Roman" w:eastAsia="Georgia" w:hAnsi="Times New Roman" w:cs="Times New Roman"/>
          <w:b/>
          <w:sz w:val="24"/>
          <w:szCs w:val="24"/>
        </w:rPr>
      </w:pPr>
      <w:r w:rsidRPr="00D96BF4">
        <w:rPr>
          <w:rFonts w:ascii="Times New Roman" w:eastAsia="Georgia" w:hAnsi="Times New Roman" w:cs="Times New Roman"/>
          <w:b/>
          <w:sz w:val="24"/>
          <w:szCs w:val="24"/>
        </w:rPr>
        <w:t>Chuton Deb Nath</w:t>
      </w:r>
    </w:p>
    <w:p w:rsidR="00A55ECF" w:rsidRPr="007E6578" w:rsidRDefault="00A55ECF" w:rsidP="00D96BF4">
      <w:pPr>
        <w:spacing w:line="360" w:lineRule="auto"/>
        <w:jc w:val="both"/>
        <w:rPr>
          <w:rFonts w:ascii="Times New Roman" w:eastAsia="Georgia" w:hAnsi="Times New Roman" w:cs="Times New Roman"/>
          <w:sz w:val="24"/>
          <w:szCs w:val="24"/>
        </w:rPr>
      </w:pPr>
      <w:r w:rsidRPr="007E6578">
        <w:rPr>
          <w:rFonts w:ascii="Times New Roman" w:eastAsia="Georgia" w:hAnsi="Times New Roman" w:cs="Times New Roman"/>
          <w:sz w:val="24"/>
          <w:szCs w:val="24"/>
        </w:rPr>
        <w:t xml:space="preserve">Email: </w:t>
      </w:r>
      <w:hyperlink r:id="rId8" w:history="1">
        <w:r w:rsidRPr="007E6578">
          <w:rPr>
            <w:rStyle w:val="Hyperlink"/>
            <w:rFonts w:ascii="Times New Roman" w:eastAsia="Georgia" w:hAnsi="Times New Roman" w:cs="Times New Roman"/>
            <w:sz w:val="24"/>
            <w:szCs w:val="24"/>
          </w:rPr>
          <w:t>chutondebnath.mcj@ku.ac.bd</w:t>
        </w:r>
      </w:hyperlink>
    </w:p>
    <w:p w:rsidR="00A55ECF" w:rsidRPr="007E6578" w:rsidRDefault="00A55ECF" w:rsidP="00D96BF4">
      <w:pPr>
        <w:spacing w:line="360" w:lineRule="auto"/>
        <w:jc w:val="both"/>
        <w:rPr>
          <w:rFonts w:ascii="Times New Roman" w:eastAsia="Georgia" w:hAnsi="Times New Roman" w:cs="Times New Roman"/>
          <w:sz w:val="24"/>
          <w:szCs w:val="24"/>
        </w:rPr>
      </w:pPr>
      <w:r w:rsidRPr="007E6578">
        <w:rPr>
          <w:rFonts w:ascii="Times New Roman" w:eastAsia="Georgia" w:hAnsi="Times New Roman" w:cs="Times New Roman"/>
          <w:sz w:val="24"/>
          <w:szCs w:val="24"/>
        </w:rPr>
        <w:t>Postal Address: Room</w:t>
      </w:r>
      <w:r>
        <w:rPr>
          <w:rFonts w:ascii="Times New Roman" w:eastAsia="Georgia" w:hAnsi="Times New Roman" w:cs="Times New Roman"/>
          <w:sz w:val="24"/>
          <w:szCs w:val="24"/>
        </w:rPr>
        <w:t xml:space="preserve"> </w:t>
      </w:r>
      <w:r w:rsidRPr="007E6578">
        <w:rPr>
          <w:rFonts w:ascii="Times New Roman" w:eastAsia="Georgia" w:hAnsi="Times New Roman" w:cs="Times New Roman"/>
          <w:sz w:val="24"/>
          <w:szCs w:val="24"/>
        </w:rPr>
        <w:t>No. 3359, Kobi Jibanananda Das Academic Building, Mass Communication and Journalism Discipline, Khulna University, Khulna 9208</w:t>
      </w:r>
    </w:p>
    <w:p w:rsidR="00A55ECF" w:rsidRPr="007E6578" w:rsidRDefault="00A55ECF" w:rsidP="00D96BF4">
      <w:pPr>
        <w:spacing w:line="360" w:lineRule="auto"/>
        <w:jc w:val="both"/>
        <w:rPr>
          <w:rFonts w:ascii="Times New Roman" w:eastAsia="Georgia" w:hAnsi="Times New Roman" w:cs="Times New Roman"/>
          <w:sz w:val="24"/>
          <w:szCs w:val="24"/>
        </w:rPr>
      </w:pPr>
      <w:r w:rsidRPr="007E6578">
        <w:rPr>
          <w:rFonts w:ascii="Times New Roman" w:eastAsia="Georgia" w:hAnsi="Times New Roman" w:cs="Times New Roman"/>
          <w:sz w:val="24"/>
          <w:szCs w:val="24"/>
        </w:rPr>
        <w:t>Cell:</w:t>
      </w:r>
      <w:r>
        <w:rPr>
          <w:rFonts w:ascii="Times New Roman" w:eastAsia="Georgia" w:hAnsi="Times New Roman" w:cs="Times New Roman"/>
          <w:sz w:val="24"/>
          <w:szCs w:val="24"/>
        </w:rPr>
        <w:t xml:space="preserve"> </w:t>
      </w:r>
      <w:r w:rsidRPr="007E6578">
        <w:rPr>
          <w:rFonts w:ascii="Times New Roman" w:eastAsia="Georgia" w:hAnsi="Times New Roman" w:cs="Times New Roman"/>
          <w:sz w:val="24"/>
          <w:szCs w:val="24"/>
        </w:rPr>
        <w:t>01728476349</w:t>
      </w:r>
    </w:p>
    <w:p w:rsidR="00A55ECF" w:rsidRPr="007E6578" w:rsidRDefault="00A55ECF" w:rsidP="00D96BF4">
      <w:pPr>
        <w:spacing w:line="360" w:lineRule="auto"/>
        <w:jc w:val="both"/>
        <w:rPr>
          <w:rFonts w:ascii="Times New Roman" w:eastAsia="Georgia" w:hAnsi="Times New Roman" w:cs="Times New Roman"/>
          <w:sz w:val="24"/>
          <w:szCs w:val="24"/>
        </w:rPr>
      </w:pPr>
    </w:p>
    <w:p w:rsidR="00A55ECF" w:rsidRPr="007E6578" w:rsidRDefault="00A55ECF" w:rsidP="00D96BF4">
      <w:pPr>
        <w:spacing w:line="360" w:lineRule="auto"/>
        <w:rPr>
          <w:rFonts w:ascii="Times New Roman" w:eastAsia="Georgia" w:hAnsi="Times New Roman" w:cs="Times New Roman"/>
          <w:sz w:val="24"/>
          <w:szCs w:val="24"/>
        </w:rPr>
      </w:pPr>
    </w:p>
    <w:p w:rsidR="00A55ECF" w:rsidRPr="007E6578" w:rsidRDefault="00A55ECF" w:rsidP="00D96BF4">
      <w:pPr>
        <w:spacing w:line="360" w:lineRule="auto"/>
        <w:rPr>
          <w:rFonts w:ascii="Times New Roman" w:eastAsia="Georgia" w:hAnsi="Times New Roman" w:cs="Times New Roman"/>
          <w:sz w:val="24"/>
          <w:szCs w:val="24"/>
        </w:rPr>
      </w:pPr>
    </w:p>
    <w:p w:rsidR="00A55ECF" w:rsidRDefault="00A55ECF" w:rsidP="00D96BF4">
      <w:pPr>
        <w:spacing w:line="360" w:lineRule="auto"/>
        <w:rPr>
          <w:rFonts w:ascii="Times New Roman" w:eastAsia="Georgia" w:hAnsi="Times New Roman" w:cs="Times New Roman"/>
          <w:b/>
          <w:sz w:val="28"/>
          <w:szCs w:val="28"/>
        </w:rPr>
      </w:pPr>
    </w:p>
    <w:p w:rsidR="00AA2E02" w:rsidRDefault="00AA2E02" w:rsidP="00D96BF4">
      <w:pPr>
        <w:spacing w:line="360" w:lineRule="auto"/>
        <w:rPr>
          <w:rFonts w:ascii="Times New Roman" w:eastAsia="Georgia" w:hAnsi="Times New Roman" w:cs="Times New Roman"/>
          <w:b/>
          <w:sz w:val="28"/>
          <w:szCs w:val="28"/>
        </w:rPr>
      </w:pPr>
    </w:p>
    <w:p w:rsidR="00AA2E02" w:rsidRDefault="00AA2E02" w:rsidP="00D96BF4">
      <w:pPr>
        <w:spacing w:line="360" w:lineRule="auto"/>
        <w:rPr>
          <w:rFonts w:ascii="Times New Roman" w:eastAsia="Georgia" w:hAnsi="Times New Roman" w:cs="Times New Roman"/>
          <w:b/>
          <w:sz w:val="28"/>
          <w:szCs w:val="28"/>
        </w:rPr>
      </w:pPr>
    </w:p>
    <w:p w:rsidR="00D96BF4" w:rsidRDefault="00D96BF4" w:rsidP="00D96BF4">
      <w:pPr>
        <w:spacing w:line="360" w:lineRule="auto"/>
        <w:rPr>
          <w:rFonts w:ascii="Times New Roman" w:eastAsia="Georgia" w:hAnsi="Times New Roman" w:cs="Times New Roman"/>
          <w:b/>
          <w:sz w:val="28"/>
          <w:szCs w:val="28"/>
        </w:rPr>
      </w:pPr>
    </w:p>
    <w:p w:rsidR="00D96BF4" w:rsidRDefault="00D96BF4" w:rsidP="00D96BF4">
      <w:pPr>
        <w:spacing w:line="360" w:lineRule="auto"/>
        <w:rPr>
          <w:rFonts w:ascii="Times New Roman" w:eastAsia="Georgia" w:hAnsi="Times New Roman" w:cs="Times New Roman"/>
          <w:b/>
          <w:sz w:val="28"/>
          <w:szCs w:val="28"/>
        </w:rPr>
      </w:pPr>
    </w:p>
    <w:p w:rsidR="00A55ECF" w:rsidRDefault="00A55ECF" w:rsidP="00D96BF4">
      <w:pPr>
        <w:spacing w:line="360" w:lineRule="auto"/>
        <w:rPr>
          <w:rFonts w:ascii="Times New Roman" w:eastAsia="Georgia" w:hAnsi="Times New Roman" w:cs="Times New Roman"/>
          <w:b/>
          <w:sz w:val="36"/>
          <w:szCs w:val="36"/>
        </w:rPr>
      </w:pPr>
      <w:r w:rsidRPr="007E6578">
        <w:rPr>
          <w:rFonts w:ascii="Times New Roman" w:eastAsia="Georgia" w:hAnsi="Times New Roman" w:cs="Times New Roman"/>
          <w:b/>
          <w:sz w:val="28"/>
          <w:szCs w:val="28"/>
        </w:rPr>
        <w:t>Professional and Academic Affiliation</w:t>
      </w:r>
      <w:r w:rsidR="000638A0">
        <w:rPr>
          <w:rFonts w:ascii="Times New Roman" w:eastAsia="Georgia" w:hAnsi="Times New Roman" w:cs="Times New Roman"/>
          <w:b/>
          <w:sz w:val="28"/>
          <w:szCs w:val="28"/>
        </w:rPr>
        <w:t>s</w:t>
      </w:r>
      <w:r>
        <w:rPr>
          <w:rFonts w:ascii="Times New Roman" w:eastAsia="Georgia" w:hAnsi="Times New Roman" w:cs="Times New Roman"/>
          <w:b/>
          <w:sz w:val="36"/>
          <w:szCs w:val="36"/>
        </w:rPr>
        <w:t>:</w:t>
      </w:r>
    </w:p>
    <w:p w:rsidR="00A55ECF" w:rsidRDefault="00A55ECF" w:rsidP="00D96BF4">
      <w:pPr>
        <w:spacing w:line="360" w:lineRule="auto"/>
        <w:rPr>
          <w:rFonts w:ascii="Times New Roman" w:eastAsia="Georgia" w:hAnsi="Times New Roman" w:cs="Times New Roman"/>
          <w:sz w:val="24"/>
          <w:szCs w:val="24"/>
        </w:rPr>
      </w:pPr>
      <w:r w:rsidRPr="007E6578">
        <w:rPr>
          <w:rFonts w:ascii="Times New Roman" w:eastAsia="Georgia" w:hAnsi="Times New Roman" w:cs="Times New Roman"/>
          <w:b/>
          <w:sz w:val="24"/>
          <w:szCs w:val="24"/>
        </w:rPr>
        <w:t>Sudipta Debnath</w:t>
      </w:r>
      <w:r w:rsidRPr="007E6578">
        <w:rPr>
          <w:rFonts w:ascii="Times New Roman" w:eastAsia="Georgia" w:hAnsi="Times New Roman" w:cs="Times New Roman"/>
          <w:sz w:val="24"/>
          <w:szCs w:val="24"/>
        </w:rPr>
        <w:t>: Graduat</w:t>
      </w:r>
      <w:r>
        <w:rPr>
          <w:rFonts w:ascii="Times New Roman" w:eastAsia="Georgia" w:hAnsi="Times New Roman" w:cs="Times New Roman"/>
          <w:sz w:val="24"/>
          <w:szCs w:val="24"/>
        </w:rPr>
        <w:t>e</w:t>
      </w:r>
      <w:r w:rsidRPr="007E6578">
        <w:rPr>
          <w:rFonts w:ascii="Times New Roman" w:eastAsia="Georgia" w:hAnsi="Times New Roman" w:cs="Times New Roman"/>
          <w:sz w:val="24"/>
          <w:szCs w:val="24"/>
        </w:rPr>
        <w:t xml:space="preserve"> Student, Mass Communication and Journalism Discipline</w:t>
      </w:r>
      <w:r>
        <w:rPr>
          <w:rFonts w:ascii="Times New Roman" w:eastAsia="Georgia" w:hAnsi="Times New Roman" w:cs="Times New Roman"/>
          <w:sz w:val="24"/>
          <w:szCs w:val="24"/>
        </w:rPr>
        <w:t>,</w:t>
      </w:r>
    </w:p>
    <w:p w:rsidR="00A55ECF" w:rsidRDefault="00A55ECF" w:rsidP="00D96BF4">
      <w:pPr>
        <w:spacing w:line="360" w:lineRule="auto"/>
        <w:rPr>
          <w:rFonts w:ascii="Times New Roman" w:eastAsia="Georgia" w:hAnsi="Times New Roman" w:cs="Times New Roman"/>
          <w:sz w:val="24"/>
          <w:szCs w:val="24"/>
        </w:rPr>
      </w:pPr>
      <w:r w:rsidRPr="007E6578">
        <w:rPr>
          <w:rFonts w:ascii="Times New Roman" w:eastAsia="Georgia" w:hAnsi="Times New Roman" w:cs="Times New Roman"/>
          <w:sz w:val="24"/>
          <w:szCs w:val="24"/>
        </w:rPr>
        <w:t xml:space="preserve"> Khulna University</w:t>
      </w:r>
      <w:r w:rsidR="009B443A">
        <w:rPr>
          <w:rFonts w:ascii="Times New Roman" w:eastAsia="Georgia" w:hAnsi="Times New Roman" w:cs="Times New Roman"/>
          <w:sz w:val="24"/>
          <w:szCs w:val="24"/>
        </w:rPr>
        <w:t>, Khulna-9208, Bangladesh</w:t>
      </w:r>
    </w:p>
    <w:p w:rsidR="00D96BF4" w:rsidRPr="009473B7" w:rsidRDefault="00D96BF4" w:rsidP="00D96BF4">
      <w:pPr>
        <w:spacing w:line="360" w:lineRule="auto"/>
        <w:rPr>
          <w:rFonts w:ascii="Times New Roman" w:eastAsia="Georgia" w:hAnsi="Times New Roman" w:cs="Times New Roman"/>
          <w:sz w:val="24"/>
          <w:szCs w:val="24"/>
        </w:rPr>
      </w:pPr>
    </w:p>
    <w:p w:rsidR="00A55ECF" w:rsidRDefault="00A55ECF" w:rsidP="00D96BF4">
      <w:pPr>
        <w:spacing w:line="360" w:lineRule="auto"/>
        <w:rPr>
          <w:rFonts w:ascii="Times New Roman" w:eastAsia="Georgia" w:hAnsi="Times New Roman" w:cs="Times New Roman"/>
          <w:sz w:val="24"/>
          <w:szCs w:val="24"/>
        </w:rPr>
      </w:pPr>
      <w:r w:rsidRPr="007E6578">
        <w:rPr>
          <w:rFonts w:ascii="Times New Roman" w:eastAsia="Georgia" w:hAnsi="Times New Roman" w:cs="Times New Roman"/>
          <w:b/>
          <w:sz w:val="24"/>
          <w:szCs w:val="24"/>
        </w:rPr>
        <w:t>Chuton Debnath:</w:t>
      </w:r>
      <w:r w:rsidRPr="007E6578">
        <w:rPr>
          <w:rFonts w:ascii="Times New Roman" w:eastAsia="Georgia" w:hAnsi="Times New Roman" w:cs="Times New Roman"/>
          <w:sz w:val="24"/>
          <w:szCs w:val="24"/>
        </w:rPr>
        <w:t xml:space="preserve"> Assistant Professor, Mass Communication and Journalism Discipline,</w:t>
      </w:r>
    </w:p>
    <w:p w:rsidR="00A55ECF" w:rsidRDefault="00A55ECF" w:rsidP="00D96BF4">
      <w:pPr>
        <w:spacing w:line="360" w:lineRule="auto"/>
        <w:rPr>
          <w:rFonts w:ascii="Times New Roman" w:eastAsia="Georgia" w:hAnsi="Times New Roman" w:cs="Times New Roman"/>
          <w:sz w:val="24"/>
          <w:szCs w:val="24"/>
        </w:rPr>
      </w:pPr>
      <w:r w:rsidRPr="007E6578">
        <w:rPr>
          <w:rFonts w:ascii="Times New Roman" w:eastAsia="Georgia" w:hAnsi="Times New Roman" w:cs="Times New Roman"/>
          <w:sz w:val="24"/>
          <w:szCs w:val="24"/>
        </w:rPr>
        <w:t xml:space="preserve"> Khulna University</w:t>
      </w:r>
      <w:r w:rsidR="009B443A">
        <w:rPr>
          <w:rFonts w:ascii="Times New Roman" w:eastAsia="Georgia" w:hAnsi="Times New Roman" w:cs="Times New Roman"/>
          <w:sz w:val="24"/>
          <w:szCs w:val="24"/>
        </w:rPr>
        <w:t>, Khulna-9208</w:t>
      </w:r>
    </w:p>
    <w:p w:rsidR="00A55ECF" w:rsidRDefault="00A55ECF" w:rsidP="00D96BF4">
      <w:pPr>
        <w:spacing w:line="480" w:lineRule="auto"/>
        <w:rPr>
          <w:rFonts w:ascii="Times New Roman" w:eastAsia="Georgia" w:hAnsi="Times New Roman" w:cs="Times New Roman"/>
          <w:sz w:val="24"/>
          <w:szCs w:val="24"/>
        </w:rPr>
      </w:pPr>
    </w:p>
    <w:p w:rsidR="00A55ECF" w:rsidRPr="00D96BF4" w:rsidRDefault="00A55ECF" w:rsidP="00D96BF4">
      <w:pPr>
        <w:spacing w:line="360" w:lineRule="auto"/>
        <w:rPr>
          <w:rFonts w:ascii="Times New Roman" w:eastAsia="Georgia" w:hAnsi="Times New Roman" w:cs="Times New Roman"/>
          <w:b/>
          <w:sz w:val="32"/>
          <w:szCs w:val="32"/>
        </w:rPr>
      </w:pPr>
    </w:p>
    <w:p w:rsidR="00035D8D" w:rsidRPr="00D96BF4" w:rsidRDefault="00B434B0" w:rsidP="00D96BF4">
      <w:pPr>
        <w:spacing w:line="360" w:lineRule="auto"/>
        <w:jc w:val="center"/>
        <w:rPr>
          <w:rFonts w:ascii="Times New Roman" w:eastAsia="Georgia" w:hAnsi="Times New Roman" w:cs="Times New Roman"/>
          <w:b/>
          <w:sz w:val="32"/>
          <w:szCs w:val="32"/>
        </w:rPr>
      </w:pPr>
      <w:r w:rsidRPr="00D96BF4">
        <w:rPr>
          <w:rFonts w:ascii="Times New Roman" w:eastAsia="Georgia" w:hAnsi="Times New Roman" w:cs="Times New Roman"/>
          <w:b/>
          <w:sz w:val="32"/>
          <w:szCs w:val="32"/>
        </w:rPr>
        <w:t xml:space="preserve">Understanding Fukuyama’s Liberalism: </w:t>
      </w:r>
    </w:p>
    <w:p w:rsidR="00035D8D" w:rsidRDefault="00B434B0" w:rsidP="00D96BF4">
      <w:pPr>
        <w:spacing w:line="360" w:lineRule="auto"/>
        <w:jc w:val="center"/>
        <w:rPr>
          <w:rFonts w:ascii="Times New Roman" w:eastAsia="Georgia" w:hAnsi="Times New Roman" w:cs="Times New Roman"/>
          <w:b/>
          <w:sz w:val="32"/>
          <w:szCs w:val="32"/>
        </w:rPr>
      </w:pPr>
      <w:r w:rsidRPr="00D96BF4">
        <w:rPr>
          <w:rFonts w:ascii="Times New Roman" w:eastAsia="Georgia" w:hAnsi="Times New Roman" w:cs="Times New Roman"/>
          <w:b/>
          <w:sz w:val="32"/>
          <w:szCs w:val="32"/>
        </w:rPr>
        <w:t>A Critical Perspective</w:t>
      </w:r>
    </w:p>
    <w:p w:rsidR="00D96BF4" w:rsidRPr="00D96BF4" w:rsidRDefault="00D96BF4" w:rsidP="00D96BF4">
      <w:pPr>
        <w:spacing w:line="360" w:lineRule="auto"/>
        <w:jc w:val="center"/>
        <w:rPr>
          <w:rFonts w:ascii="Times New Roman" w:eastAsia="Georgia" w:hAnsi="Times New Roman" w:cs="Times New Roman"/>
          <w:b/>
          <w:sz w:val="32"/>
          <w:szCs w:val="32"/>
        </w:rPr>
      </w:pPr>
    </w:p>
    <w:p w:rsidR="00035D8D" w:rsidRPr="00637ED9" w:rsidRDefault="00B434B0" w:rsidP="00D96BF4">
      <w:pPr>
        <w:spacing w:line="480" w:lineRule="auto"/>
        <w:jc w:val="center"/>
        <w:rPr>
          <w:rFonts w:ascii="Times New Roman" w:eastAsia="Georgia" w:hAnsi="Times New Roman" w:cs="Times New Roman"/>
          <w:b/>
          <w:sz w:val="28"/>
          <w:szCs w:val="28"/>
        </w:rPr>
      </w:pPr>
      <w:r w:rsidRPr="00637ED9">
        <w:rPr>
          <w:rFonts w:ascii="Times New Roman" w:eastAsia="Georgia" w:hAnsi="Times New Roman" w:cs="Times New Roman"/>
          <w:b/>
          <w:sz w:val="28"/>
          <w:szCs w:val="28"/>
        </w:rPr>
        <w:t>Abstract</w:t>
      </w:r>
    </w:p>
    <w:p w:rsidR="00A55ECF" w:rsidRPr="00FA3938" w:rsidRDefault="00A55ECF" w:rsidP="00D96BF4">
      <w:pPr>
        <w:jc w:val="both"/>
        <w:rPr>
          <w:rFonts w:ascii="Times New Roman" w:hAnsi="Times New Roman" w:cs="Times New Roman"/>
          <w:sz w:val="24"/>
          <w:szCs w:val="24"/>
        </w:rPr>
      </w:pPr>
      <w:r w:rsidRPr="00FA3938">
        <w:rPr>
          <w:rFonts w:ascii="Times New Roman" w:hAnsi="Times New Roman" w:cs="Times New Roman"/>
          <w:sz w:val="24"/>
          <w:szCs w:val="24"/>
        </w:rPr>
        <w:t>This paper projects an analysis over Fukuyama’s liberalism and the philosophy behind his avowal of liberalism as a triumphant ideology into a universal form of governance through semantic and textual analysis under the hood of comparative approach. It also discusses the origin and nature of liberalism and its concurrent position applying critical lenses. All the significant works of Fukuyama analyzed and reanalyzed to look for the basis of his ideology and the conception behind his claim of the triumphant of liberal democracy. T</w:t>
      </w:r>
      <w:r>
        <w:rPr>
          <w:rFonts w:ascii="Times New Roman" w:hAnsi="Times New Roman" w:cs="Times New Roman"/>
          <w:sz w:val="24"/>
          <w:szCs w:val="24"/>
        </w:rPr>
        <w:t>his study</w:t>
      </w:r>
      <w:r w:rsidRPr="00FA3938">
        <w:rPr>
          <w:rFonts w:ascii="Times New Roman" w:hAnsi="Times New Roman" w:cs="Times New Roman"/>
          <w:sz w:val="24"/>
          <w:szCs w:val="24"/>
        </w:rPr>
        <w:t xml:space="preserve"> also tries to identify the hidden meanings of Fukuyama and Huntington’s writings and understand similarities within differences between ideology of Fukuyama and Huntington through Edward Said’s Oriental lenses to validate their theoretical assumptions. From the comparative perspective of Edward Said’s </w:t>
      </w:r>
      <w:r w:rsidR="00400E0E">
        <w:rPr>
          <w:rFonts w:ascii="Times New Roman" w:hAnsi="Times New Roman" w:cs="Times New Roman"/>
          <w:sz w:val="24"/>
          <w:szCs w:val="24"/>
        </w:rPr>
        <w:t>Orientalism, we</w:t>
      </w:r>
      <w:r w:rsidRPr="00FA3938">
        <w:rPr>
          <w:rFonts w:ascii="Times New Roman" w:hAnsi="Times New Roman" w:cs="Times New Roman"/>
          <w:sz w:val="24"/>
          <w:szCs w:val="24"/>
        </w:rPr>
        <w:t xml:space="preserve"> comprehend that the dominance and exerting of the West upon the East is considerably strong and to some greater extent eastern philosophical ideologies are not having the limelight as it deserves. This study will enable the people of the East to assess the true nature of the West or western dominant policy and portray the real essence of their policies.</w:t>
      </w:r>
    </w:p>
    <w:p w:rsidR="00A55ECF" w:rsidRPr="00FA3938" w:rsidRDefault="00A55ECF" w:rsidP="00D96BF4">
      <w:pPr>
        <w:spacing w:line="480" w:lineRule="auto"/>
        <w:jc w:val="both"/>
        <w:rPr>
          <w:rFonts w:ascii="Times New Roman" w:hAnsi="Times New Roman" w:cs="Times New Roman"/>
          <w:sz w:val="24"/>
          <w:szCs w:val="24"/>
        </w:rPr>
      </w:pPr>
    </w:p>
    <w:p w:rsidR="00A55ECF" w:rsidRDefault="00A55ECF" w:rsidP="00D96BF4">
      <w:pPr>
        <w:spacing w:line="480" w:lineRule="auto"/>
        <w:jc w:val="both"/>
        <w:rPr>
          <w:rFonts w:ascii="Times New Roman" w:hAnsi="Times New Roman" w:cs="Times New Roman"/>
          <w:sz w:val="24"/>
          <w:szCs w:val="24"/>
        </w:rPr>
      </w:pPr>
      <w:r w:rsidRPr="00FA3938">
        <w:rPr>
          <w:rFonts w:ascii="Times New Roman" w:hAnsi="Times New Roman" w:cs="Times New Roman"/>
          <w:b/>
          <w:sz w:val="24"/>
          <w:szCs w:val="24"/>
        </w:rPr>
        <w:t>Key Words:</w:t>
      </w:r>
      <w:r w:rsidRPr="00FA3938">
        <w:rPr>
          <w:rFonts w:ascii="Times New Roman" w:hAnsi="Times New Roman" w:cs="Times New Roman"/>
          <w:sz w:val="24"/>
          <w:szCs w:val="24"/>
        </w:rPr>
        <w:t xml:space="preserve"> Fukuyama, Liberalism, Philosophy, End of History, Eadward Said, Orientalism, Huntington, Clash of Civilization</w:t>
      </w:r>
    </w:p>
    <w:p w:rsidR="00D96BF4" w:rsidRPr="00D96BF4" w:rsidRDefault="00D96BF4" w:rsidP="00D96BF4">
      <w:pPr>
        <w:spacing w:line="480" w:lineRule="auto"/>
        <w:jc w:val="both"/>
        <w:rPr>
          <w:rFonts w:ascii="Times New Roman" w:hAnsi="Times New Roman" w:cs="Times New Roman"/>
          <w:sz w:val="24"/>
          <w:szCs w:val="24"/>
        </w:rPr>
      </w:pPr>
    </w:p>
    <w:p w:rsidR="00035D8D" w:rsidRPr="00631759" w:rsidRDefault="00B434B0" w:rsidP="00D96BF4">
      <w:pPr>
        <w:numPr>
          <w:ilvl w:val="0"/>
          <w:numId w:val="1"/>
        </w:numPr>
        <w:spacing w:line="480" w:lineRule="auto"/>
        <w:jc w:val="both"/>
        <w:rPr>
          <w:rFonts w:ascii="Times New Roman" w:eastAsia="Georgia" w:hAnsi="Times New Roman" w:cs="Times New Roman"/>
          <w:b/>
          <w:bCs/>
          <w:sz w:val="28"/>
          <w:szCs w:val="28"/>
        </w:rPr>
      </w:pPr>
      <w:r w:rsidRPr="00637ED9">
        <w:rPr>
          <w:rFonts w:ascii="Times New Roman" w:eastAsia="Georgia" w:hAnsi="Times New Roman" w:cs="Times New Roman"/>
          <w:b/>
          <w:bCs/>
          <w:sz w:val="28"/>
          <w:szCs w:val="28"/>
        </w:rPr>
        <w:t>Introduction</w:t>
      </w:r>
    </w:p>
    <w:p w:rsidR="003A3B21" w:rsidRDefault="00B434B0" w:rsidP="00D96BF4">
      <w:pPr>
        <w:spacing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              At the end of the cold war era, Francis Fukuyama in his 1992 article, </w:t>
      </w:r>
      <w:r w:rsidRPr="00637ED9">
        <w:rPr>
          <w:rFonts w:ascii="Times New Roman" w:eastAsia="Georgia" w:hAnsi="Times New Roman" w:cs="Times New Roman"/>
          <w:i/>
          <w:sz w:val="24"/>
          <w:szCs w:val="24"/>
        </w:rPr>
        <w:t>The End of History?</w:t>
      </w:r>
      <w:r w:rsidRPr="00637ED9">
        <w:rPr>
          <w:rFonts w:ascii="Times New Roman" w:eastAsia="Georgia" w:hAnsi="Times New Roman" w:cs="Times New Roman"/>
          <w:sz w:val="24"/>
          <w:szCs w:val="24"/>
        </w:rPr>
        <w:t>, declared the triumphant of liberal democracy and embraced the ultimate victory of liberalism which “may consti</w:t>
      </w:r>
      <w:r w:rsidR="00AA2E02">
        <w:rPr>
          <w:rFonts w:ascii="Times New Roman" w:eastAsia="Georgia" w:hAnsi="Times New Roman" w:cs="Times New Roman"/>
          <w:sz w:val="24"/>
          <w:szCs w:val="24"/>
        </w:rPr>
        <w:t>tute the end point of mankind’s</w:t>
      </w:r>
      <w:r w:rsidRPr="00637ED9">
        <w:rPr>
          <w:rFonts w:ascii="Times New Roman" w:eastAsia="Georgia" w:hAnsi="Times New Roman" w:cs="Times New Roman"/>
          <w:sz w:val="24"/>
          <w:szCs w:val="24"/>
        </w:rPr>
        <w:t xml:space="preserve"> ideological evolution and the final form of government and make up the end of history”. Controversy continued about his arguments, considering the sole basis and evidence that he put up. Political theorist John Dunn </w:t>
      </w:r>
      <w:r w:rsidRPr="00637ED9">
        <w:rPr>
          <w:rFonts w:ascii="Times New Roman" w:eastAsia="Georgia" w:hAnsi="Times New Roman" w:cs="Times New Roman"/>
          <w:sz w:val="24"/>
          <w:szCs w:val="24"/>
        </w:rPr>
        <w:lastRenderedPageBreak/>
        <w:t xml:space="preserve">tagged Fukuyama’s essay as “the worst sort of American undergraduate term-paper.” Fareed Zakaria wrote an article titled </w:t>
      </w:r>
      <w:r w:rsidRPr="00637ED9">
        <w:rPr>
          <w:rFonts w:ascii="Times New Roman" w:eastAsia="Georgia" w:hAnsi="Times New Roman" w:cs="Times New Roman"/>
          <w:i/>
          <w:sz w:val="24"/>
          <w:szCs w:val="24"/>
        </w:rPr>
        <w:t>The End of The End of History</w:t>
      </w:r>
      <w:r w:rsidRPr="00637ED9">
        <w:rPr>
          <w:rFonts w:ascii="Times New Roman" w:eastAsia="Georgia" w:hAnsi="Times New Roman" w:cs="Times New Roman"/>
          <w:sz w:val="24"/>
          <w:szCs w:val="24"/>
        </w:rPr>
        <w:t xml:space="preserve"> expressing his thought on “Islamic fundamentalism’s tangible resistance against the west” meaning surely the end of the end of history. Political theorist Benjamin Barber criticized Fukuyama for taking granted the victory of American unipolarity as an ultimate end of history. Selcen Oner analyzed “The End of History” (1989) and asserted that “he [Fukuyama] states his arguments without a firm basis and with a lack of evidence”.</w:t>
      </w:r>
      <w:r w:rsidRPr="00637ED9">
        <w:rPr>
          <w:rFonts w:ascii="Times New Roman" w:eastAsia="Georgia" w:hAnsi="Times New Roman" w:cs="Times New Roman"/>
          <w:sz w:val="24"/>
          <w:szCs w:val="24"/>
          <w:vertAlign w:val="superscript"/>
        </w:rPr>
        <w:footnoteReference w:id="2"/>
      </w:r>
      <w:r w:rsidRPr="00637ED9">
        <w:rPr>
          <w:rFonts w:ascii="Times New Roman" w:eastAsia="Georgia" w:hAnsi="Times New Roman" w:cs="Times New Roman"/>
          <w:sz w:val="24"/>
          <w:szCs w:val="24"/>
        </w:rPr>
        <w:t xml:space="preserve"> However, some political theorists acclaimed Fukuyama’s work. Political theorists Howard Williams and David Sullivan praised Fukuyama for having “almost single-handedly revived philosophical debate about the nature of history” and “given a new lease of life to the philosophy of history.”</w:t>
      </w:r>
      <w:r w:rsidRPr="00637ED9">
        <w:rPr>
          <w:rFonts w:ascii="Times New Roman" w:eastAsia="Georgia" w:hAnsi="Times New Roman" w:cs="Times New Roman"/>
          <w:sz w:val="24"/>
          <w:szCs w:val="24"/>
          <w:vertAlign w:val="superscript"/>
        </w:rPr>
        <w:footnoteReference w:id="3"/>
      </w:r>
    </w:p>
    <w:p w:rsidR="00FE1623" w:rsidRDefault="00FE1623" w:rsidP="00D96BF4">
      <w:pPr>
        <w:spacing w:line="480" w:lineRule="auto"/>
        <w:jc w:val="both"/>
        <w:rPr>
          <w:rFonts w:ascii="Times New Roman" w:eastAsia="Georgia" w:hAnsi="Times New Roman" w:cs="Times New Roman"/>
          <w:sz w:val="24"/>
          <w:szCs w:val="24"/>
        </w:rPr>
      </w:pPr>
    </w:p>
    <w:p w:rsidR="00035D8D" w:rsidRPr="00637ED9" w:rsidRDefault="00B434B0" w:rsidP="00D96BF4">
      <w:pPr>
        <w:spacing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However, liberalism, as an ideology, includes a broad spectrum of political philosophies. Its most important goal is to serve individual liberty. It also emphasizes individual rights, equality of opportunity, and a government that protects rights and takes necessary steps for commons. Liberalism has got different forms- each with it is a variation of policies. At the end of the cold war era, the collapse of competing ideologies such as communism, socialism gave hope about the triumph of liberal democracy. In that situation, Francis Fukuyama came up with the idea about the end of history. Fukuyama has gone to various philosophers to develop his viewpoint and basically, the idea of the winning of liberalism is a combination of many ideas as liberalism can take various shapes and forms regarding ideologies. </w:t>
      </w:r>
    </w:p>
    <w:p w:rsidR="00035D8D" w:rsidRPr="00637ED9" w:rsidRDefault="00035D8D" w:rsidP="00D96BF4">
      <w:pPr>
        <w:spacing w:line="480" w:lineRule="auto"/>
        <w:jc w:val="both"/>
        <w:rPr>
          <w:rFonts w:ascii="Times New Roman" w:eastAsia="Georgia" w:hAnsi="Times New Roman" w:cs="Times New Roman"/>
          <w:sz w:val="24"/>
          <w:szCs w:val="24"/>
        </w:rPr>
      </w:pPr>
    </w:p>
    <w:p w:rsidR="00035D8D" w:rsidRPr="00637ED9" w:rsidRDefault="00B434B0" w:rsidP="00D96BF4">
      <w:pPr>
        <w:spacing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lastRenderedPageBreak/>
        <w:t xml:space="preserve">Based on the understanding and orientation of freedom, liberalism is classified into two major types: classical liberalism and social liberalism. There are various other forms like ‘anarchism’ which is a much more radical form of liberalism. No matter how many various </w:t>
      </w:r>
      <w:r w:rsidR="007A2C45" w:rsidRPr="00637ED9">
        <w:rPr>
          <w:rFonts w:ascii="Times New Roman" w:eastAsia="Georgia" w:hAnsi="Times New Roman" w:cs="Times New Roman"/>
          <w:sz w:val="24"/>
          <w:szCs w:val="24"/>
        </w:rPr>
        <w:t>forms</w:t>
      </w:r>
      <w:r w:rsidRPr="00637ED9">
        <w:rPr>
          <w:rFonts w:ascii="Times New Roman" w:eastAsia="Georgia" w:hAnsi="Times New Roman" w:cs="Times New Roman"/>
          <w:sz w:val="24"/>
          <w:szCs w:val="24"/>
        </w:rPr>
        <w:t xml:space="preserve"> it gets, the basic idea of liberalism is always against any form of authoritarianism (communism, socialism, fascism etc.), totalitarianism and collectivism (emphasize the collective or the community to a degree where the rights of the individual are diminished or abolished).</w:t>
      </w:r>
      <w:r w:rsidRPr="00637ED9">
        <w:rPr>
          <w:rFonts w:ascii="Times New Roman" w:eastAsia="Georgia" w:hAnsi="Times New Roman" w:cs="Times New Roman"/>
          <w:sz w:val="24"/>
          <w:szCs w:val="24"/>
          <w:vertAlign w:val="superscript"/>
        </w:rPr>
        <w:footnoteReference w:id="4"/>
      </w:r>
    </w:p>
    <w:p w:rsidR="00035D8D" w:rsidRPr="00637ED9" w:rsidRDefault="00035D8D" w:rsidP="00D96BF4">
      <w:pPr>
        <w:spacing w:line="480" w:lineRule="auto"/>
        <w:jc w:val="both"/>
        <w:rPr>
          <w:rFonts w:ascii="Times New Roman" w:eastAsia="Georgia" w:hAnsi="Times New Roman" w:cs="Times New Roman"/>
          <w:sz w:val="24"/>
          <w:szCs w:val="24"/>
        </w:rPr>
      </w:pPr>
    </w:p>
    <w:p w:rsidR="00035D8D" w:rsidRDefault="00B434B0" w:rsidP="00D96BF4">
      <w:pPr>
        <w:spacing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“Liberalism” was “not used in the eighteenth century where the adjective “liberal” did not bear modern meaning.” Before 1769, the word “liberal” was used in pre-political ways holding pre-political meanings like generous as in “liberal arts” and “liberal education.” However, around 1769 terms like “liberal policy,” “liberal plan,” “liberal system,” “liberal views,” “liberal ideas,” and “liberal principles” stood out. Scottish historian William Robertson used the word “liberal” repeatedly and significantly. Like Robertson’s, his friend and fellow Scot Adam Smith used “liberal” in The Wealth of Nations, published in 1776. After Smith’s death in 1790, the usage of the term continued to spread through Dugald Stewart and his students including those of Edinburgh Review*. During the 1820s, the suffix ‘-ism’ was added to create “liberalism”. The meaning of liberal or liberalism turned itself from pre-political to political as Adam Smith used it in a political sense. Presumption of today’s “liberalism” often lies with the status quo, or even with the idea that the government should perform to solve perceived problems of society and so on.The understanding of liberalism flourished at the age of enlightenment. But the modern </w:t>
      </w:r>
      <w:r w:rsidRPr="00637ED9">
        <w:rPr>
          <w:rFonts w:ascii="Times New Roman" w:eastAsia="Georgia" w:hAnsi="Times New Roman" w:cs="Times New Roman"/>
          <w:sz w:val="24"/>
          <w:szCs w:val="24"/>
        </w:rPr>
        <w:lastRenderedPageBreak/>
        <w:t>ideology gained its current form during the 18th century in Europe. Later it gained a shift towards America. John Locke's "Two Treatises on Government", published in 1689, established two fundamental liberal ideas: economic liberty (meaning the right to have and use property) and intellectual liberty (including freedom of conscience). The idea of liberalism further developed in the hands of scholars like Baron de Montesquieu (1689 - 1755), Voltaire (1694-1778), Jean-Jacques Rousseau (1712-1778) etc. But the significant contribution of liberalism was done in the hands of David Hume and Adam Smith. Later, during the mid-19th century, John Stuart Mill popularized and expanded liberal idea(s). Gradually, the idea of liberal democracy in its typical form of multi-party political pluralism-gathered strength and influence over much of the western world.</w:t>
      </w:r>
      <w:r w:rsidRPr="00637ED9">
        <w:rPr>
          <w:rFonts w:ascii="Times New Roman" w:eastAsia="Georgia" w:hAnsi="Times New Roman" w:cs="Times New Roman"/>
          <w:sz w:val="24"/>
          <w:szCs w:val="24"/>
          <w:vertAlign w:val="superscript"/>
        </w:rPr>
        <w:footnoteReference w:id="5"/>
      </w:r>
    </w:p>
    <w:p w:rsidR="00FE1623" w:rsidRPr="00FE1623" w:rsidRDefault="00FE1623" w:rsidP="00D96BF4">
      <w:pPr>
        <w:spacing w:line="480" w:lineRule="auto"/>
        <w:jc w:val="both"/>
        <w:rPr>
          <w:rFonts w:ascii="Times New Roman" w:eastAsia="Georgia" w:hAnsi="Times New Roman" w:cs="Times New Roman"/>
          <w:sz w:val="36"/>
          <w:szCs w:val="36"/>
        </w:rPr>
      </w:pPr>
    </w:p>
    <w:p w:rsidR="005B1824" w:rsidRDefault="00B434B0" w:rsidP="00D96BF4">
      <w:pPr>
        <w:spacing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With many political philosophies, several forms of liberalism also got created such as conservative liberalism, economic liberalism, neoliberalism, American liberalism, national liberalism, ordo liberalism, paleoliberalism, cultural liberalism,. Also, this paper tries to uncover what version of liberalism closely relates to Fukuyama’s liberalism. Neoliberalism focuses on reducing trade barriers and using government power to enforce open markets. However, neoliberalism is also notoriously difficult to define, as it does not form a coherent set of theoretical assumptions and subsequent policies. Neoliberalism is more a nexus of policies that adapt to circumstances than a coherent set of theoretical hypotheses (Bell, 2014).</w:t>
      </w:r>
      <w:r w:rsidRPr="00637ED9">
        <w:rPr>
          <w:rFonts w:ascii="Times New Roman" w:eastAsia="Georgia" w:hAnsi="Times New Roman" w:cs="Times New Roman"/>
          <w:sz w:val="24"/>
          <w:szCs w:val="24"/>
          <w:vertAlign w:val="superscript"/>
        </w:rPr>
        <w:footnoteReference w:id="6"/>
      </w:r>
      <w:r w:rsidRPr="00637ED9">
        <w:rPr>
          <w:rFonts w:ascii="Times New Roman" w:eastAsia="Georgia" w:hAnsi="Times New Roman" w:cs="Times New Roman"/>
          <w:sz w:val="24"/>
          <w:szCs w:val="24"/>
        </w:rPr>
        <w:t xml:space="preserve"> Neoliberalism's influence has varied across countries and time periods. American liberalism is a </w:t>
      </w:r>
      <w:r w:rsidRPr="00637ED9">
        <w:rPr>
          <w:rFonts w:ascii="Times New Roman" w:eastAsia="Georgia" w:hAnsi="Times New Roman" w:cs="Times New Roman"/>
          <w:sz w:val="24"/>
          <w:szCs w:val="24"/>
        </w:rPr>
        <w:lastRenderedPageBreak/>
        <w:t>combination of social liberalism, social progressivism, and mixed economy. It claims freedom as their primary goal</w:t>
      </w:r>
      <w:r w:rsidR="005B1824">
        <w:rPr>
          <w:rFonts w:ascii="Times New Roman" w:eastAsia="Georgia" w:hAnsi="Times New Roman" w:cs="Times New Roman"/>
          <w:sz w:val="24"/>
          <w:szCs w:val="24"/>
        </w:rPr>
        <w:t>.</w:t>
      </w:r>
    </w:p>
    <w:p w:rsidR="005B1824" w:rsidRPr="00637ED9" w:rsidRDefault="005B1824" w:rsidP="00D96BF4">
      <w:pPr>
        <w:spacing w:line="480" w:lineRule="auto"/>
        <w:jc w:val="both"/>
        <w:rPr>
          <w:rFonts w:ascii="Times New Roman" w:eastAsia="Georgia" w:hAnsi="Times New Roman" w:cs="Times New Roman"/>
          <w:sz w:val="24"/>
          <w:szCs w:val="24"/>
        </w:rPr>
      </w:pPr>
    </w:p>
    <w:p w:rsidR="00035D8D" w:rsidRDefault="00B434B0" w:rsidP="00D96BF4">
      <w:pPr>
        <w:spacing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Fukuyama (1992:160-161) argues that "Hobbesian or Lockean liberalism provided no reason society's best men should choose public service and statesmanship over a private life of moneymaking," while Hegelian liberalism is valued because it "seeks to honor and preserve a certain moral dimension to human life, ... and the struggle to have it [moral dimension] recognized, that is the motor driving the dialectical process of history."</w:t>
      </w:r>
      <w:r w:rsidRPr="00637ED9">
        <w:rPr>
          <w:rFonts w:ascii="Times New Roman" w:eastAsia="Georgia" w:hAnsi="Times New Roman" w:cs="Times New Roman"/>
          <w:sz w:val="24"/>
          <w:szCs w:val="24"/>
          <w:vertAlign w:val="superscript"/>
        </w:rPr>
        <w:footnoteReference w:id="7"/>
      </w:r>
      <w:r w:rsidRPr="00637ED9">
        <w:rPr>
          <w:rFonts w:ascii="Times New Roman" w:eastAsia="Georgia" w:hAnsi="Times New Roman" w:cs="Times New Roman"/>
          <w:sz w:val="24"/>
          <w:szCs w:val="24"/>
        </w:rPr>
        <w:t xml:space="preserve"> Fukuyama adopts Hegel's idea of the struggle for recognition, contending that it plays a "central role in the affairs of human beings" (Hill, 1999). Hill claims that when Fukuyama declared that history had ended, he did not mean "history" in its common sense as "the chronicle of human events" rather, he referred to the meaning that Hegel gave it. Hill comments Fukuyama set off "an international intellectual furor that has not subsided yet," and when he argued “how and why he believes that liberal democracy will triumph not only over fascism and communism - but also over its own internal weaknesses."</w:t>
      </w:r>
      <w:r w:rsidRPr="00637ED9">
        <w:rPr>
          <w:rFonts w:ascii="Times New Roman" w:eastAsia="Georgia" w:hAnsi="Times New Roman" w:cs="Times New Roman"/>
          <w:sz w:val="24"/>
          <w:szCs w:val="24"/>
          <w:vertAlign w:val="superscript"/>
        </w:rPr>
        <w:footnoteReference w:id="8"/>
      </w:r>
      <w:r w:rsidRPr="00637ED9">
        <w:rPr>
          <w:rFonts w:ascii="Times New Roman" w:eastAsia="Georgia" w:hAnsi="Times New Roman" w:cs="Times New Roman"/>
          <w:sz w:val="24"/>
          <w:szCs w:val="24"/>
        </w:rPr>
        <w:t xml:space="preserve"> The purpose of this paper is not to criticize or to analyze Fukuyama’s writings, rather to disclose about the origin and nature it holds.  </w:t>
      </w:r>
    </w:p>
    <w:p w:rsidR="00FE1623" w:rsidRPr="00FE1623" w:rsidRDefault="00FE1623" w:rsidP="00D96BF4">
      <w:pPr>
        <w:spacing w:line="480" w:lineRule="auto"/>
        <w:jc w:val="both"/>
        <w:rPr>
          <w:rFonts w:ascii="Times New Roman" w:eastAsia="Georgia" w:hAnsi="Times New Roman" w:cs="Times New Roman"/>
          <w:sz w:val="24"/>
          <w:szCs w:val="24"/>
        </w:rPr>
      </w:pPr>
    </w:p>
    <w:p w:rsidR="00035D8D" w:rsidRPr="00FE1623" w:rsidRDefault="00B434B0" w:rsidP="00D96BF4">
      <w:pPr>
        <w:numPr>
          <w:ilvl w:val="0"/>
          <w:numId w:val="1"/>
        </w:numPr>
        <w:spacing w:line="480" w:lineRule="auto"/>
        <w:jc w:val="both"/>
        <w:rPr>
          <w:rFonts w:ascii="Times New Roman" w:eastAsia="Georgia" w:hAnsi="Times New Roman" w:cs="Times New Roman"/>
          <w:b/>
          <w:bCs/>
          <w:sz w:val="28"/>
          <w:szCs w:val="28"/>
        </w:rPr>
      </w:pPr>
      <w:r w:rsidRPr="00637ED9">
        <w:rPr>
          <w:rFonts w:ascii="Times New Roman" w:eastAsia="Georgia" w:hAnsi="Times New Roman" w:cs="Times New Roman"/>
          <w:b/>
          <w:bCs/>
          <w:sz w:val="28"/>
          <w:szCs w:val="28"/>
        </w:rPr>
        <w:t>Who is Francis Fukuyama?</w:t>
      </w:r>
    </w:p>
    <w:p w:rsidR="00035D8D" w:rsidRPr="00637ED9" w:rsidRDefault="00B434B0" w:rsidP="00D96BF4">
      <w:pPr>
        <w:spacing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        Fukuyama, a political thinker-writer-theorist, completed his graduation in classics from Cornell University and later studied at Harvard University. He earned his PhD in Political science. For the past two decades, Fukuyama has held unique positions at RAND and the US </w:t>
      </w:r>
      <w:r w:rsidRPr="00637ED9">
        <w:rPr>
          <w:rFonts w:ascii="Times New Roman" w:eastAsia="Georgia" w:hAnsi="Times New Roman" w:cs="Times New Roman"/>
          <w:sz w:val="24"/>
          <w:szCs w:val="24"/>
        </w:rPr>
        <w:lastRenderedPageBreak/>
        <w:t>Department of State. From 1979 to 1980, then again from 1983 to 89, and from 1995 to 96; Fukuyama was a member of the Political Science Department of the RAND Corporation (Kimball, 1992).</w:t>
      </w:r>
      <w:r w:rsidRPr="00637ED9">
        <w:rPr>
          <w:rFonts w:ascii="Times New Roman" w:eastAsia="Georgia" w:hAnsi="Times New Roman" w:cs="Times New Roman"/>
          <w:sz w:val="24"/>
          <w:szCs w:val="24"/>
          <w:vertAlign w:val="superscript"/>
        </w:rPr>
        <w:footnoteReference w:id="9"/>
      </w:r>
      <w:r w:rsidRPr="00637ED9">
        <w:rPr>
          <w:rFonts w:ascii="Times New Roman" w:eastAsia="Georgia" w:hAnsi="Times New Roman" w:cs="Times New Roman"/>
          <w:sz w:val="24"/>
          <w:szCs w:val="24"/>
        </w:rPr>
        <w:t xml:space="preserve"> From 1981 to 82 and in 1989, he was a member of the Policy Planning Staff of the US Department of State, for the first time as a regular member specializing in Middle East affairs. He was a fellow of the Johns Hopkins University School for Advanced International Studies (Oner, 2003).</w:t>
      </w:r>
      <w:r w:rsidRPr="00637ED9">
        <w:rPr>
          <w:rFonts w:ascii="Times New Roman" w:eastAsia="Georgia" w:hAnsi="Times New Roman" w:cs="Times New Roman"/>
          <w:sz w:val="24"/>
          <w:szCs w:val="24"/>
          <w:vertAlign w:val="superscript"/>
        </w:rPr>
        <w:footnoteReference w:id="10"/>
      </w:r>
      <w:r w:rsidRPr="00637ED9">
        <w:rPr>
          <w:rFonts w:ascii="Times New Roman" w:eastAsia="Georgia" w:hAnsi="Times New Roman" w:cs="Times New Roman"/>
          <w:sz w:val="24"/>
          <w:szCs w:val="24"/>
        </w:rPr>
        <w:t xml:space="preserve"> During the cold war era, Fukuyama studied under Allan Bloom, a follower of political philosopher Leo Strauss. It is to note that Leo Strauss introduced Bloom and his other students to Kojeve’s thought. From here on, Kojeve’s thought is commonly represented in the analytical writings of Fukuyama (Yar, 2001; Herwitz, 2000:223).</w:t>
      </w:r>
      <w:r w:rsidRPr="00637ED9">
        <w:rPr>
          <w:rFonts w:ascii="Times New Roman" w:eastAsia="Georgia" w:hAnsi="Times New Roman" w:cs="Times New Roman"/>
          <w:sz w:val="24"/>
          <w:szCs w:val="24"/>
          <w:vertAlign w:val="superscript"/>
        </w:rPr>
        <w:footnoteReference w:id="11"/>
      </w:r>
      <w:r w:rsidRPr="00637ED9">
        <w:rPr>
          <w:rFonts w:ascii="Times New Roman" w:eastAsia="Georgia" w:hAnsi="Times New Roman" w:cs="Times New Roman"/>
          <w:sz w:val="24"/>
          <w:szCs w:val="24"/>
          <w:vertAlign w:val="superscript"/>
        </w:rPr>
        <w:footnoteReference w:id="12"/>
      </w:r>
    </w:p>
    <w:p w:rsidR="00035D8D" w:rsidRPr="00637ED9" w:rsidRDefault="00035D8D" w:rsidP="00D96BF4">
      <w:pPr>
        <w:spacing w:line="480" w:lineRule="auto"/>
        <w:jc w:val="both"/>
        <w:rPr>
          <w:rFonts w:ascii="Times New Roman" w:eastAsia="Georgia" w:hAnsi="Times New Roman" w:cs="Times New Roman"/>
          <w:sz w:val="24"/>
          <w:szCs w:val="24"/>
        </w:rPr>
      </w:pPr>
    </w:p>
    <w:p w:rsidR="00035D8D" w:rsidRPr="00637ED9" w:rsidRDefault="00B434B0" w:rsidP="00D96BF4">
      <w:pPr>
        <w:spacing w:after="240" w:line="480" w:lineRule="auto"/>
        <w:jc w:val="both"/>
        <w:rPr>
          <w:rFonts w:ascii="Times New Roman" w:eastAsia="Georgia" w:hAnsi="Times New Roman" w:cs="Times New Roman"/>
          <w:b/>
          <w:bCs/>
          <w:sz w:val="28"/>
          <w:szCs w:val="28"/>
        </w:rPr>
      </w:pPr>
      <w:r w:rsidRPr="00637ED9">
        <w:rPr>
          <w:rFonts w:ascii="Times New Roman" w:eastAsia="Georgia" w:hAnsi="Times New Roman" w:cs="Times New Roman"/>
          <w:b/>
          <w:bCs/>
          <w:sz w:val="28"/>
          <w:szCs w:val="28"/>
        </w:rPr>
        <w:t>2.1 Origin and Nature of Fukuyama’s Liberalism</w:t>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The word liberalism, liberal, libertine all has come from the Latin word ‘liber’ which means “free”.</w:t>
      </w:r>
      <w:r w:rsidRPr="00637ED9">
        <w:rPr>
          <w:rFonts w:ascii="Times New Roman" w:eastAsia="Georgia" w:hAnsi="Times New Roman" w:cs="Times New Roman"/>
          <w:sz w:val="24"/>
          <w:szCs w:val="24"/>
          <w:vertAlign w:val="superscript"/>
        </w:rPr>
        <w:footnoteReference w:id="13"/>
      </w:r>
      <w:r w:rsidRPr="00637ED9">
        <w:rPr>
          <w:rFonts w:ascii="Times New Roman" w:eastAsia="Georgia" w:hAnsi="Times New Roman" w:cs="Times New Roman"/>
          <w:sz w:val="24"/>
          <w:szCs w:val="24"/>
        </w:rPr>
        <w:t xml:space="preserve"> From the current viewpoint, liberalism can be described as the belief that it is the aim of politics to preserve individual rights and, alongside, to maximize freedom of choice. While Satoshi Kanazawa thought of liberalism as opposed to conservatism and focusing on welfare stated about the genuine concern for the welfare of people other than family members and the willingness to contribute larger proportions of private resources for the welfare of such others </w:t>
      </w:r>
      <w:r w:rsidRPr="00637ED9">
        <w:rPr>
          <w:rFonts w:ascii="Times New Roman" w:eastAsia="Times New Roman" w:hAnsi="Times New Roman" w:cs="Times New Roman"/>
          <w:sz w:val="24"/>
          <w:szCs w:val="24"/>
        </w:rPr>
        <w:t>(Kanazawa 2010, p. 38)</w:t>
      </w:r>
      <w:r w:rsidRPr="00637ED9">
        <w:rPr>
          <w:rFonts w:ascii="Times New Roman" w:eastAsia="Georgia" w:hAnsi="Times New Roman" w:cs="Times New Roman"/>
          <w:sz w:val="24"/>
          <w:szCs w:val="24"/>
        </w:rPr>
        <w:t>.</w:t>
      </w:r>
      <w:r w:rsidRPr="00637ED9">
        <w:rPr>
          <w:rFonts w:ascii="Times New Roman" w:eastAsia="Georgia" w:hAnsi="Times New Roman" w:cs="Times New Roman"/>
          <w:sz w:val="24"/>
          <w:szCs w:val="24"/>
          <w:vertAlign w:val="superscript"/>
        </w:rPr>
        <w:footnoteReference w:id="14"/>
      </w:r>
      <w:r w:rsidRPr="00637ED9">
        <w:rPr>
          <w:rFonts w:ascii="Times New Roman" w:eastAsia="Georgia" w:hAnsi="Times New Roman" w:cs="Times New Roman"/>
          <w:sz w:val="24"/>
          <w:szCs w:val="24"/>
        </w:rPr>
        <w:t xml:space="preserve"> According to Bell (2004), liberalism describes the inter-relation of </w:t>
      </w:r>
      <w:r w:rsidRPr="00637ED9">
        <w:rPr>
          <w:rFonts w:ascii="Times New Roman" w:eastAsia="Georgia" w:hAnsi="Times New Roman" w:cs="Times New Roman"/>
          <w:sz w:val="24"/>
          <w:szCs w:val="24"/>
        </w:rPr>
        <w:lastRenderedPageBreak/>
        <w:t>core concepts, such as liberty, authority, autonomy, and equality.</w:t>
      </w:r>
      <w:r w:rsidRPr="00637ED9">
        <w:rPr>
          <w:rFonts w:ascii="Times New Roman" w:eastAsia="Georgia" w:hAnsi="Times New Roman" w:cs="Times New Roman"/>
          <w:sz w:val="24"/>
          <w:szCs w:val="24"/>
          <w:vertAlign w:val="superscript"/>
        </w:rPr>
        <w:footnoteReference w:id="15"/>
      </w:r>
      <w:r w:rsidRPr="00637ED9">
        <w:rPr>
          <w:rFonts w:ascii="Times New Roman" w:eastAsia="Georgia" w:hAnsi="Times New Roman" w:cs="Times New Roman"/>
          <w:sz w:val="24"/>
          <w:szCs w:val="24"/>
        </w:rPr>
        <w:t xml:space="preserve"> However, Shklar defined liberalism from a political point of view focusing on with only one overriding aim and that is to secure the political conditions that are necessary for the exercise of personal freedom,</w:t>
      </w:r>
      <w:r w:rsidRPr="00637ED9">
        <w:rPr>
          <w:rFonts w:ascii="Times New Roman" w:eastAsia="Georgia" w:hAnsi="Times New Roman" w:cs="Times New Roman"/>
          <w:sz w:val="24"/>
          <w:szCs w:val="24"/>
          <w:vertAlign w:val="superscript"/>
        </w:rPr>
        <w:footnoteReference w:id="16"/>
      </w:r>
      <w:r w:rsidRPr="00637ED9">
        <w:rPr>
          <w:rFonts w:ascii="Times New Roman" w:eastAsia="Georgia" w:hAnsi="Times New Roman" w:cs="Times New Roman"/>
          <w:sz w:val="24"/>
          <w:szCs w:val="24"/>
        </w:rPr>
        <w:t xml:space="preserve"> whereas, Jeremy Waldron suggesting condonation for every individual of the social stated that liberalism refers a context where “all aspects of the social should either be made acceptable or be capable of being made acceptable to every individual.”</w:t>
      </w:r>
      <w:r w:rsidRPr="00637ED9">
        <w:rPr>
          <w:rFonts w:ascii="Times New Roman" w:eastAsia="Georgia" w:hAnsi="Times New Roman" w:cs="Times New Roman"/>
          <w:sz w:val="24"/>
          <w:szCs w:val="24"/>
          <w:vertAlign w:val="superscript"/>
        </w:rPr>
        <w:footnoteReference w:id="17"/>
      </w:r>
      <w:r w:rsidRPr="00637ED9">
        <w:rPr>
          <w:rFonts w:ascii="Times New Roman" w:eastAsia="Georgia" w:hAnsi="Times New Roman" w:cs="Times New Roman"/>
          <w:sz w:val="24"/>
          <w:szCs w:val="24"/>
        </w:rPr>
        <w:t>Meanwhile, following the same route, Ronald Dworkin asserts equality as the nerve of liberalism.</w:t>
      </w:r>
      <w:r w:rsidRPr="00637ED9">
        <w:rPr>
          <w:rFonts w:ascii="Times New Roman" w:eastAsia="Georgia" w:hAnsi="Times New Roman" w:cs="Times New Roman"/>
          <w:sz w:val="24"/>
          <w:szCs w:val="24"/>
          <w:vertAlign w:val="superscript"/>
        </w:rPr>
        <w:footnoteReference w:id="18"/>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Liberalism refers to a political and moral philosophy that proceeds or intends to provide liberty, equality, freedom of speech, individual rights, democracy, secularism, freedom of press and so on. Liberalism, as an ideology, includes a broad spectrum of political philosophies. Its most important goal is to serve individual liberty. It also emphasizes individual rights, equality of opportunity, and a government that protects rights and takes necessary steps for commons.</w:t>
      </w:r>
      <w:r w:rsidRPr="00637ED9">
        <w:rPr>
          <w:rFonts w:ascii="Times New Roman" w:eastAsia="Georgia" w:hAnsi="Times New Roman" w:cs="Times New Roman"/>
          <w:sz w:val="24"/>
          <w:szCs w:val="24"/>
          <w:vertAlign w:val="superscript"/>
        </w:rPr>
        <w:footnoteReference w:id="19"/>
      </w:r>
      <w:r w:rsidRPr="00637ED9">
        <w:rPr>
          <w:rFonts w:ascii="Times New Roman" w:eastAsia="Georgia" w:hAnsi="Times New Roman" w:cs="Times New Roman"/>
          <w:sz w:val="24"/>
          <w:szCs w:val="24"/>
          <w:vertAlign w:val="superscript"/>
        </w:rPr>
        <w:footnoteReference w:id="20"/>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According to Fowler (1995:104), Liberalism embraced and promoted the following fundamental indicators of the ideology of progress: (1) "the absence of social controls over individual behaviour; " (2) "increased human power to control the environment in ways that provide </w:t>
      </w:r>
      <w:r w:rsidRPr="00637ED9">
        <w:rPr>
          <w:rFonts w:ascii="Times New Roman" w:eastAsia="Georgia" w:hAnsi="Times New Roman" w:cs="Times New Roman"/>
          <w:sz w:val="24"/>
          <w:szCs w:val="24"/>
        </w:rPr>
        <w:lastRenderedPageBreak/>
        <w:t>conditions of greater ease, comfort and security for human life; " and (3) "a marketplace offering an ever-increasing superabundance for the gratification of every human desire".</w:t>
      </w:r>
      <w:r w:rsidRPr="00637ED9">
        <w:rPr>
          <w:rFonts w:ascii="Times New Roman" w:eastAsia="Georgia" w:hAnsi="Times New Roman" w:cs="Times New Roman"/>
          <w:sz w:val="24"/>
          <w:szCs w:val="24"/>
          <w:vertAlign w:val="superscript"/>
        </w:rPr>
        <w:footnoteReference w:id="21"/>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However, liberalism has got different forms. No matter how many various form it gets, the basic idea of liberalism is always against any form of authoritarianism (communism, socialism, fascism etc.), totalitarianism and collectivism (emphasize the collective or the community to a degree where the rights of the individual are diminished or abolished). Gradually, the idea of liberal democracy in its typical form gathered strength and influence over much of the western world. With many political philosophies, several forms of liberalism also got created such as conservative liberalism, economic liberalism, neoliberalism, national liberalism, ordo liberalism, paleoliberalism, cultural liberalism,. </w:t>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One of the recent forms of liberalism, neoliberalism focuses on reducing trade barriers and using government power to enforce open markets. However, neoliberalism is also notoriously difficult to define, as it does not form a coherent set of theoretical assumptions and subsequent policies. Point of view from Bell (2014), describes neoliberalism as “more a nexus of policies that adapts to circumstances than a coherent set of theoretical hypotheses”. But to point out, neoliberalism's influence has varied across countries and time periods. American liberalism is a combination of social liberalism, social progressivism, and mixed economy. It claims freedom as their primary goal. Fukuyama’s liberalism is close to this.</w:t>
      </w:r>
      <w:r w:rsidRPr="00637ED9">
        <w:rPr>
          <w:rFonts w:ascii="Times New Roman" w:eastAsia="Georgia" w:hAnsi="Times New Roman" w:cs="Times New Roman"/>
          <w:sz w:val="24"/>
          <w:szCs w:val="24"/>
          <w:vertAlign w:val="superscript"/>
        </w:rPr>
        <w:footnoteReference w:id="22"/>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Fukuyama, in his article “The End of History”, published in 1989, Fukuyama stated the triumph of western liberalism. In the 90s scenario, Fukuyama’s explanation of the political scenario </w:t>
      </w:r>
      <w:r w:rsidRPr="00637ED9">
        <w:rPr>
          <w:rFonts w:ascii="Times New Roman" w:eastAsia="Georgia" w:hAnsi="Times New Roman" w:cs="Times New Roman"/>
          <w:sz w:val="24"/>
          <w:szCs w:val="24"/>
        </w:rPr>
        <w:lastRenderedPageBreak/>
        <w:t xml:space="preserve">considered that time period as “the end point of humanity’s ideological evolution” where Western liberal democracy is considered as the ultimate form of government. But this winning of liberalism occurred in ideological perspective; it remains as not much in the real or material world. This is the end of history, but events will still occur. Yet, liberalism will be ideologically and physically successful in the long run considering historical change. Through the winning of ideals of the French Revolutions at the Battle of Jena (1806), Hegel argued the history to be at an end. Following this, Fukuyama pointed towards ideological winning and implementations of ideology were to be done after 1806 like abolishing slavery and the slave trade, extending the franchise to workers, women, blacks and other racial minorities etc. Fukuyama considered these as the basic principles (also focuses on a system of law, universal right to freedom) of a liberal democratic state which through two world wars in the 20th century, implemented more successfully in Europe and North America. </w:t>
      </w:r>
      <w:r w:rsidRPr="00637ED9">
        <w:rPr>
          <w:rFonts w:ascii="Times New Roman" w:eastAsia="Georgia" w:hAnsi="Times New Roman" w:cs="Times New Roman"/>
          <w:sz w:val="24"/>
          <w:szCs w:val="24"/>
          <w:vertAlign w:val="superscript"/>
        </w:rPr>
        <w:footnoteReference w:id="23"/>
      </w:r>
      <w:r w:rsidRPr="00637ED9">
        <w:rPr>
          <w:rFonts w:ascii="Times New Roman" w:eastAsia="Georgia" w:hAnsi="Times New Roman" w:cs="Times New Roman"/>
          <w:sz w:val="24"/>
          <w:szCs w:val="24"/>
          <w:vertAlign w:val="superscript"/>
        </w:rPr>
        <w:footnoteReference w:id="24"/>
      </w:r>
      <w:r w:rsidRPr="00637ED9">
        <w:rPr>
          <w:rFonts w:ascii="Times New Roman" w:eastAsia="Georgia" w:hAnsi="Times New Roman" w:cs="Times New Roman"/>
          <w:sz w:val="24"/>
          <w:szCs w:val="24"/>
        </w:rPr>
        <w:t xml:space="preserve">This is the position Fukuyama’s liberalism holds within other variations of liberalism. From this ideological point, it can also be denoted that Fukuyama’s “End of History” concept is still important to the followers and to the western ideological front, even after over 25 years of publishing. </w:t>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The origin of Fukuyama’s ideology can be found within the notion Fukuyama talks about the end of history- is much close to Hegel, rather than Karl Marx. Fukuyama considered Hegel as the first philosopher who spoke the language of modern social science. Hegel argued history as a dialectical process. From Hegel’s point, history has a beginning, a middle and an end. This ‘end’ represents an absolute moment where a rational form of society and state became victorious. He also considered human as a product of “concrete historical and social environment”; not of fixed “natural” attributes. However, from a Hegelian viewpoint, this so-called “concrete” historical </w:t>
      </w:r>
      <w:r w:rsidRPr="00637ED9">
        <w:rPr>
          <w:rFonts w:ascii="Times New Roman" w:eastAsia="Georgia" w:hAnsi="Times New Roman" w:cs="Times New Roman"/>
          <w:sz w:val="24"/>
          <w:szCs w:val="24"/>
        </w:rPr>
        <w:lastRenderedPageBreak/>
        <w:t>and social environment can be changed through scientific and technological evolution and application. Fukuyama considers works of Hegel much more important than Karl Marx about the end of history which Marx borrowed from Hegel. Fukuyama considers Marx as far more appreciated for this than Hegel, who mainly gave the idea. Fukuyama expects that this happened because of the “distorting lens of Marxism”- another important piece for understanding Fukuyama’s liberalism.</w:t>
      </w:r>
      <w:r w:rsidRPr="00637ED9">
        <w:rPr>
          <w:rFonts w:ascii="Times New Roman" w:eastAsia="Georgia" w:hAnsi="Times New Roman" w:cs="Times New Roman"/>
          <w:sz w:val="24"/>
          <w:szCs w:val="24"/>
          <w:vertAlign w:val="superscript"/>
        </w:rPr>
        <w:footnoteReference w:id="25"/>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Francis Fukuyama has focused in his thesis about the triumph of liberal democracy and liberalism. Fukuyama concluded in his </w:t>
      </w:r>
      <w:r w:rsidRPr="00637ED9">
        <w:rPr>
          <w:rFonts w:ascii="Times New Roman" w:eastAsia="Georgia" w:hAnsi="Times New Roman" w:cs="Times New Roman"/>
          <w:i/>
          <w:sz w:val="24"/>
          <w:szCs w:val="24"/>
        </w:rPr>
        <w:t>End of History?</w:t>
      </w:r>
      <w:r w:rsidRPr="00637ED9">
        <w:rPr>
          <w:rFonts w:ascii="Times New Roman" w:eastAsia="Georgia" w:hAnsi="Times New Roman" w:cs="Times New Roman"/>
          <w:sz w:val="24"/>
          <w:szCs w:val="24"/>
        </w:rPr>
        <w:t xml:space="preserve"> That triumph of political liberalism and economic liberalism marks the end of history through gaining the endpoint of humanity’s ideological evolution. However, Fukuyama’s model of liberal democracy or liberalism is based on Hegelian “non selfish” liberalism, which according to Fukuyama is much more noble and accurate than Hobbesian-Lockean liberalism; such as Anglo-Saxon liberalism, including American democracy. But it is to point out that the term or the expression “Hegelian liberalism” does not provide any support for liberal democracy. Neither does the “Hobbesian-Lockean liberalism” implies that Hobbes is a supporter of liberalism. Under Hobbesian-Lockean liberalism, liberty is solely viewed in the “selfish” terms of desire and reason as liberty is thought as pursuit of rational self-interest in the absence of physical constraint, or self-preservation of the body. By contrast, “Hegelian liberalism” views liberty in the “non-selfish” terms of thymos (the concept of thymos originated from Plato) or spiritedness and liberty is the pursuit of rational recognition which means equal and homogeneous recognition of all by all that lies in the human ability to negate one’s own nature, including the instinct for self-preservation. For Hobbesian-</w:t>
      </w:r>
      <w:r w:rsidRPr="00637ED9">
        <w:rPr>
          <w:rFonts w:ascii="Times New Roman" w:eastAsia="Georgia" w:hAnsi="Times New Roman" w:cs="Times New Roman"/>
          <w:sz w:val="24"/>
          <w:szCs w:val="24"/>
        </w:rPr>
        <w:lastRenderedPageBreak/>
        <w:t>Lockean liberalism, recognition of individual rights is a means to preserve the body and private sphere; for Hegelian liberalism, recognition of individual rights is an end.</w:t>
      </w:r>
      <w:r w:rsidRPr="00637ED9">
        <w:rPr>
          <w:rFonts w:ascii="Times New Roman" w:eastAsia="Georgia" w:hAnsi="Times New Roman" w:cs="Times New Roman"/>
          <w:sz w:val="24"/>
          <w:szCs w:val="24"/>
          <w:vertAlign w:val="superscript"/>
        </w:rPr>
        <w:footnoteReference w:id="26"/>
      </w:r>
      <w:r w:rsidRPr="00637ED9">
        <w:rPr>
          <w:rFonts w:ascii="Times New Roman" w:eastAsia="Georgia" w:hAnsi="Times New Roman" w:cs="Times New Roman"/>
          <w:sz w:val="24"/>
          <w:szCs w:val="24"/>
        </w:rPr>
        <w:t xml:space="preserve"> Difference can also be attributed to ideal man. For Hobbesian-Lockean liberalism, the ideal man is the bourgeois who is “preoccupied primarily with his own material well-being” composed entirely of desire and reason but lacks thymos or spiritedness. Alongside, an ideal man for Hobbesian-Lockean liberalism is not virtuous, lacking public spiritedness and not being dedicated to the larger community around him. </w:t>
      </w:r>
      <w:r w:rsidRPr="00637ED9">
        <w:rPr>
          <w:rFonts w:ascii="Times New Roman" w:eastAsia="Georgia" w:hAnsi="Times New Roman" w:cs="Times New Roman"/>
          <w:sz w:val="24"/>
          <w:szCs w:val="24"/>
          <w:vertAlign w:val="superscript"/>
        </w:rPr>
        <w:footnoteReference w:id="27"/>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The Hegelian ideal man is the civil servant of the universal class and as a servant he embodies the dialectical reconciliation between the private and public, the individual and the State, and the individual and Spirit. In the Hegelian “non-selfish” liberal system, liberal democracy does not arise from a social vacuum but originates in and is sustained by civil society and community. For Hegel, the state, the earthly embodiment of the realization of spirit, emerges out of civil society: It is not “imposed upon society but rather… grow[s] organically from the day-to-day relationships of individuals.” As Fukuyama grounds his theory of liberal democracy based on Hegelian terms, it implies that the sustainability of the cooperative public sphere of community is one of Fukuyama’s highest conceptual priorities.</w:t>
      </w:r>
      <w:r w:rsidRPr="00637ED9">
        <w:rPr>
          <w:rFonts w:ascii="Times New Roman" w:eastAsia="Georgia" w:hAnsi="Times New Roman" w:cs="Times New Roman"/>
          <w:sz w:val="24"/>
          <w:szCs w:val="24"/>
          <w:vertAlign w:val="superscript"/>
        </w:rPr>
        <w:footnoteReference w:id="28"/>
      </w:r>
      <w:r w:rsidRPr="00637ED9">
        <w:rPr>
          <w:rFonts w:ascii="Times New Roman" w:eastAsia="Georgia" w:hAnsi="Times New Roman" w:cs="Times New Roman"/>
          <w:sz w:val="24"/>
          <w:szCs w:val="24"/>
        </w:rPr>
        <w:t xml:space="preserve"> Ultimately, Fukuyama’s account of liberalism is predicated on the assumption of the existence of History with a capital H, defined as the “coherent and directional transformation of human societies affecting the whole of humanity.” </w:t>
      </w:r>
      <w:r w:rsidRPr="00637ED9">
        <w:rPr>
          <w:rFonts w:ascii="Times New Roman" w:eastAsia="Georgia" w:hAnsi="Times New Roman" w:cs="Times New Roman"/>
          <w:sz w:val="24"/>
          <w:szCs w:val="24"/>
          <w:vertAlign w:val="superscript"/>
        </w:rPr>
        <w:footnoteReference w:id="29"/>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lastRenderedPageBreak/>
        <w:t xml:space="preserve">For Fukuyama, the universal triumph of liberalism primarily refers to the end of ideology. But this is referred only in the political-economic sphere, and not in that of the civil sphere. For him, the end of history or progress requires the end of civilization, or the universal triumph of a civil infrastructure that is tailored to the universal implementation of liberalism. And Fukuyama must maintain that there is no better </w:t>
      </w:r>
      <w:r w:rsidR="00FE1623" w:rsidRPr="00637ED9">
        <w:rPr>
          <w:rFonts w:ascii="Times New Roman" w:eastAsia="Georgia" w:hAnsi="Times New Roman" w:cs="Times New Roman"/>
          <w:sz w:val="24"/>
          <w:szCs w:val="24"/>
        </w:rPr>
        <w:t>idea</w:t>
      </w:r>
      <w:r w:rsidRPr="00637ED9">
        <w:rPr>
          <w:rFonts w:ascii="Times New Roman" w:eastAsia="Georgia" w:hAnsi="Times New Roman" w:cs="Times New Roman"/>
          <w:sz w:val="24"/>
          <w:szCs w:val="24"/>
        </w:rPr>
        <w:t xml:space="preserve"> than liberalism that is conceivable and would gain substantial acceptance under the material conditions of the contemporary world. According to Fukuyama, states that emerge at the end of history are liberal, because these states exist only with the consent of the general people, thus making them the goal and ultimate point. For Kojeve, these were all together ‘universal homogenous states' considering countries of post-war western Europe. As in the homogenous states, all prior contradictions are resolved, and all human needs are satisfied. There should be no struggle over big issues.</w:t>
      </w:r>
      <w:r w:rsidRPr="00637ED9">
        <w:rPr>
          <w:rFonts w:ascii="Times New Roman" w:eastAsia="Georgia" w:hAnsi="Times New Roman" w:cs="Times New Roman"/>
          <w:sz w:val="24"/>
          <w:szCs w:val="24"/>
          <w:vertAlign w:val="superscript"/>
        </w:rPr>
        <w:footnoteReference w:id="30"/>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In Fukuyama’s writing, according to Kojeve, the end of history was achieved in 1806 when humanity has reached his ideological evolution, now at some point universal homogenous state will be manifested in the material world. Science and technology being progressive and cumulative and exercise holds a uniform impact on all societies. Discovery or inventions like wheel, gun</w:t>
      </w:r>
      <w:r w:rsidR="007D6C49">
        <w:rPr>
          <w:rFonts w:ascii="Times New Roman" w:eastAsia="Georgia" w:hAnsi="Times New Roman" w:cs="Times New Roman"/>
          <w:sz w:val="24"/>
          <w:szCs w:val="24"/>
        </w:rPr>
        <w:t xml:space="preserve"> </w:t>
      </w:r>
      <w:r w:rsidRPr="00637ED9">
        <w:rPr>
          <w:rFonts w:ascii="Times New Roman" w:eastAsia="Georgia" w:hAnsi="Times New Roman" w:cs="Times New Roman"/>
          <w:sz w:val="24"/>
          <w:szCs w:val="24"/>
        </w:rPr>
        <w:t xml:space="preserve">powder, printing, steam, nuclear energy, and so on improves the overall scenario. As a result, drives toward forward can be seen. According to Fukuyama, history is driven through two main engines; first one being the combination of a human desire for physical well-being and the technological knowledge that satisfies that desire. The second engine is thymos or spiritedness. Basically, the progressivity of science dictates that countries adopt the newest technology. Countries adopt the newest technologies, firstly to survive the military competition in the waves of imperialism, the Great Wars, and the Cold War, and secondly to improve their </w:t>
      </w:r>
      <w:r w:rsidRPr="00637ED9">
        <w:rPr>
          <w:rFonts w:ascii="Times New Roman" w:eastAsia="Georgia" w:hAnsi="Times New Roman" w:cs="Times New Roman"/>
          <w:sz w:val="24"/>
          <w:szCs w:val="24"/>
        </w:rPr>
        <w:lastRenderedPageBreak/>
        <w:t>economic performance. Examples include the Ottoman reforms of Mahmud II, Meiji reforms in Japan, and perestroika in the USSR.”</w:t>
      </w:r>
      <w:r w:rsidRPr="00637ED9">
        <w:rPr>
          <w:rFonts w:ascii="Times New Roman" w:eastAsia="Georgia" w:hAnsi="Times New Roman" w:cs="Times New Roman"/>
          <w:sz w:val="24"/>
          <w:szCs w:val="24"/>
          <w:vertAlign w:val="superscript"/>
        </w:rPr>
        <w:footnoteReference w:id="31"/>
      </w:r>
      <w:r w:rsidRPr="00637ED9">
        <w:rPr>
          <w:rFonts w:ascii="Times New Roman" w:eastAsia="Georgia" w:hAnsi="Times New Roman" w:cs="Times New Roman"/>
          <w:sz w:val="24"/>
          <w:szCs w:val="24"/>
        </w:rPr>
        <w:t xml:space="preserve"> According to Yang (2010), liberalism at an economic level has been empirically showed to satisfy human economic desire better than its alternatives through the logic of progressive science. So, a state to achieve economic and political liberalism must adapt to some attributes. For Fukuyama, the definitive attributes of liberalism and democracy are the rule of law and popular sovereignty, respectively. As Fukuyama stated, a state is liberal where it ‘recognizes and protects through a system of law man’s universal right to </w:t>
      </w:r>
      <w:r w:rsidR="00F10197" w:rsidRPr="00637ED9">
        <w:rPr>
          <w:rFonts w:ascii="Times New Roman" w:eastAsia="Georgia" w:hAnsi="Times New Roman" w:cs="Times New Roman"/>
          <w:sz w:val="24"/>
          <w:szCs w:val="24"/>
        </w:rPr>
        <w:t>freedom</w:t>
      </w:r>
      <w:r w:rsidRPr="00637ED9">
        <w:rPr>
          <w:rFonts w:ascii="Times New Roman" w:eastAsia="Georgia" w:hAnsi="Times New Roman" w:cs="Times New Roman"/>
          <w:sz w:val="24"/>
          <w:szCs w:val="24"/>
        </w:rPr>
        <w:t xml:space="preserve"> and democratic where it exists only with the consent of the governed.’</w:t>
      </w:r>
      <w:r w:rsidRPr="00637ED9">
        <w:rPr>
          <w:rFonts w:ascii="Times New Roman" w:eastAsia="Georgia" w:hAnsi="Times New Roman" w:cs="Times New Roman"/>
          <w:sz w:val="24"/>
          <w:szCs w:val="24"/>
          <w:vertAlign w:val="superscript"/>
        </w:rPr>
        <w:footnoteReference w:id="32"/>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Fukuyama’s theory of universal history is closely related with liberalism or liberal democracy as he concludes that the combination of economic liberalism and political liberalism makes up the end of history, defined in the terms that “we cannot picture to ourselves a world that is essentially different from the present one, and better.” </w:t>
      </w:r>
      <w:r w:rsidRPr="00637ED9">
        <w:rPr>
          <w:rFonts w:ascii="Times New Roman" w:eastAsia="Georgia" w:hAnsi="Times New Roman" w:cs="Times New Roman"/>
          <w:sz w:val="24"/>
          <w:szCs w:val="24"/>
          <w:vertAlign w:val="superscript"/>
        </w:rPr>
        <w:footnoteReference w:id="33"/>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For rightists, modern democracy is not the self-mastery of the previous spaces, but their mastery over their previous masters. They argue human beings are inherently unequal and must desire the satisfaction of megalothymos (desire for unequal recognition) rather than that of isothymos (desire for equal recognition). However, radical leftists still argue that internal “contradiction” of universal recognition in liberal democracy (which is a major element of liberal democracy) is that economic liberalism creates a division of labor and inequality. Also, economic and political </w:t>
      </w:r>
      <w:r w:rsidRPr="00637ED9">
        <w:rPr>
          <w:rFonts w:ascii="Times New Roman" w:eastAsia="Georgia" w:hAnsi="Times New Roman" w:cs="Times New Roman"/>
          <w:sz w:val="24"/>
          <w:szCs w:val="24"/>
        </w:rPr>
        <w:lastRenderedPageBreak/>
        <w:t>liberalism is not the perfect political-economic philosophy. The best things about liberalism are as it satisfies and confirms human nature in a fuller way than its alternatives like monarchy, fascism and communism. But Sanoff (1992) comments that "Fukuyama paints a picture of a nation whose fate is far from secure despite liberal democracy's triumph."</w:t>
      </w:r>
      <w:r w:rsidRPr="00637ED9">
        <w:rPr>
          <w:rFonts w:ascii="Times New Roman" w:eastAsia="Georgia" w:hAnsi="Times New Roman" w:cs="Times New Roman"/>
          <w:sz w:val="24"/>
          <w:szCs w:val="24"/>
          <w:vertAlign w:val="superscript"/>
        </w:rPr>
        <w:footnoteReference w:id="34"/>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Mostly Fukuyama relies on the normative justification as he declares economic and political liberalism to mark the end of history. In the first scenario, Fukuyama shows empirically that economic liberalism is the natural endpoint and Fukuyama does it by focusing on the scientific knowledge which is of cumulative nature and not culture specific, but aim and universal. Fukuyama has also provided his empirical groundings for his advocacy of liberal democracy by connecting technology driven capitalism and liberal democracy. Economic and political liberalism for Fukuyama marks the end of the evolutionary process of political-economic institutions, but social and moral institutions are not included. In the social and moral sphere, history seems to be cyclical with social order flowing through multiple generations. But in the political and economic sphere, history is dialectically progressive. Considering this, economic and political liberalism are the best ideological option for technologically advanced countries. In this respect, the twentieth-century liberalism, mainly considering USA, presents yet another downturn in the cycle—what Fukuyama calls the Great Disruption—characterized by increasing levels of crime and social disorder, the decline of families and kinship as a source of social cohesion, and decreasing levels of trust. However, social capital can come in handy. In the economic sphere, social norms of cooperation function to promote economic liberalism by reducing “the transaction costs associated with formal coordination mechanisms like contracts, </w:t>
      </w:r>
      <w:r w:rsidRPr="00637ED9">
        <w:rPr>
          <w:rFonts w:ascii="Times New Roman" w:eastAsia="Georgia" w:hAnsi="Times New Roman" w:cs="Times New Roman"/>
          <w:sz w:val="24"/>
          <w:szCs w:val="24"/>
        </w:rPr>
        <w:lastRenderedPageBreak/>
        <w:t xml:space="preserve">hierarchies, </w:t>
      </w:r>
      <w:r w:rsidR="00D018F7" w:rsidRPr="00637ED9">
        <w:rPr>
          <w:rFonts w:ascii="Times New Roman" w:eastAsia="Georgia" w:hAnsi="Times New Roman" w:cs="Times New Roman"/>
          <w:sz w:val="24"/>
          <w:szCs w:val="24"/>
        </w:rPr>
        <w:t>and bureaucratic</w:t>
      </w:r>
      <w:r w:rsidRPr="00637ED9">
        <w:rPr>
          <w:rFonts w:ascii="Times New Roman" w:eastAsia="Georgia" w:hAnsi="Times New Roman" w:cs="Times New Roman"/>
          <w:sz w:val="24"/>
          <w:szCs w:val="24"/>
        </w:rPr>
        <w:t xml:space="preserve"> rules.” In the political sphere, social capital promotes liberal democracy both indirectly and directly. Social capital creates indirectly a capitalist economy which both uses and creates social capital that forms the civil basis for political society which includes a complex division of labor, social identity, and socialization. Fukuyama criticizes a mistaken tendency encouraged by contemporary economic discourse “to regard the economy as a facet of life with its own laws, separate from the rest of society.” As Adam Smith understands, economic life is “deeply embedded in social </w:t>
      </w:r>
      <w:r w:rsidR="00D018F7" w:rsidRPr="00637ED9">
        <w:rPr>
          <w:rFonts w:ascii="Times New Roman" w:eastAsia="Georgia" w:hAnsi="Times New Roman" w:cs="Times New Roman"/>
          <w:sz w:val="24"/>
          <w:szCs w:val="24"/>
        </w:rPr>
        <w:t>life</w:t>
      </w:r>
      <w:r w:rsidRPr="00637ED9">
        <w:rPr>
          <w:rFonts w:ascii="Times New Roman" w:eastAsia="Georgia" w:hAnsi="Times New Roman" w:cs="Times New Roman"/>
          <w:sz w:val="24"/>
          <w:szCs w:val="24"/>
        </w:rPr>
        <w:t xml:space="preserve"> and it cannot be understood apart from the customs, morals, and habits of the society… from culture.” Fukuyama, in this point, recalls Hegel as the capitalist economy conceptualizes as overlapping with civil society. However, Fukuyama traces the conceptual separation between the capital economy and civil society back to Antonio Gramsci and Jürgen Habermas, who had an interest in delegitimizing capitalism itself. </w:t>
      </w:r>
      <w:r w:rsidRPr="00637ED9">
        <w:rPr>
          <w:rFonts w:ascii="Times New Roman" w:eastAsia="Georgia" w:hAnsi="Times New Roman" w:cs="Times New Roman"/>
          <w:sz w:val="24"/>
          <w:szCs w:val="24"/>
          <w:vertAlign w:val="superscript"/>
        </w:rPr>
        <w:footnoteReference w:id="35"/>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Regarding the metaphysical aspect, Herwitz (2000:223) argues that Fukuyama's central claim is: liberal democracy "is a historically emergent shape finally expressive of human essence, of what humanity requires for its flourishing" - notably the satisfaction of the - human desire for recognition as an individual by others, by the state, society, political and economic institutions and communities.</w:t>
      </w:r>
      <w:r w:rsidRPr="00637ED9">
        <w:rPr>
          <w:rFonts w:ascii="Times New Roman" w:eastAsia="Georgia" w:hAnsi="Times New Roman" w:cs="Times New Roman"/>
          <w:sz w:val="24"/>
          <w:szCs w:val="24"/>
          <w:vertAlign w:val="superscript"/>
        </w:rPr>
        <w:footnoteReference w:id="36"/>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For ideological influence, it is to point out that, in the wake of the cold war, Fukuyama studied under Allan Bloom who was a follower of the political philosopher Leo Strauss. And It was Leo Strauss who introduced Bloom and his other students to Kojeve's thought, ultimately resulting in </w:t>
      </w:r>
      <w:r w:rsidRPr="00637ED9">
        <w:rPr>
          <w:rFonts w:ascii="Times New Roman" w:eastAsia="Georgia" w:hAnsi="Times New Roman" w:cs="Times New Roman"/>
          <w:sz w:val="24"/>
          <w:szCs w:val="24"/>
        </w:rPr>
        <w:lastRenderedPageBreak/>
        <w:t xml:space="preserve">Kojeve’s appearance in Fukuyama’s thought which is triumphant by liberalism in the political and economic sphere. After two years of the publication of Bloom’s Closing of the American Mind, and in the middle of the collapse of the Eastern bloc (understanding eastern ideologies), Francis Fukuyama’s essay </w:t>
      </w:r>
      <w:r w:rsidRPr="00637ED9">
        <w:rPr>
          <w:rFonts w:ascii="Times New Roman" w:eastAsia="Georgia" w:hAnsi="Times New Roman" w:cs="Times New Roman"/>
          <w:i/>
          <w:sz w:val="24"/>
          <w:szCs w:val="24"/>
        </w:rPr>
        <w:t>The End of History</w:t>
      </w:r>
      <w:r w:rsidRPr="00637ED9">
        <w:rPr>
          <w:rFonts w:ascii="Times New Roman" w:eastAsia="Georgia" w:hAnsi="Times New Roman" w:cs="Times New Roman"/>
          <w:sz w:val="24"/>
          <w:szCs w:val="24"/>
        </w:rPr>
        <w:t xml:space="preserve"> (1989) was published in the National Interest. Interestingly, Allan Bloom himself at the same year of publishing </w:t>
      </w:r>
      <w:r w:rsidRPr="00637ED9">
        <w:rPr>
          <w:rFonts w:ascii="Times New Roman" w:eastAsia="Georgia" w:hAnsi="Times New Roman" w:cs="Times New Roman"/>
          <w:i/>
          <w:sz w:val="24"/>
          <w:szCs w:val="24"/>
        </w:rPr>
        <w:t>The Closing of the American Mind</w:t>
      </w:r>
      <w:r w:rsidRPr="00637ED9">
        <w:rPr>
          <w:rFonts w:ascii="Times New Roman" w:eastAsia="Georgia" w:hAnsi="Times New Roman" w:cs="Times New Roman"/>
          <w:sz w:val="24"/>
          <w:szCs w:val="24"/>
        </w:rPr>
        <w:t xml:space="preserve"> invited Fukuyama to come to his John M. Onlin Center for Inquiry into the theory and practice of Democracy at the University of Chicago to deliver the essay that would later be known as </w:t>
      </w:r>
      <w:r w:rsidRPr="00637ED9">
        <w:rPr>
          <w:rFonts w:ascii="Times New Roman" w:eastAsia="Georgia" w:hAnsi="Times New Roman" w:cs="Times New Roman"/>
          <w:i/>
          <w:sz w:val="24"/>
          <w:szCs w:val="24"/>
        </w:rPr>
        <w:t>The End of History</w:t>
      </w:r>
      <w:r w:rsidRPr="00637ED9">
        <w:rPr>
          <w:rFonts w:ascii="Times New Roman" w:eastAsia="Georgia" w:hAnsi="Times New Roman" w:cs="Times New Roman"/>
          <w:sz w:val="24"/>
          <w:szCs w:val="24"/>
        </w:rPr>
        <w:t xml:space="preserve">. </w:t>
      </w:r>
      <w:r w:rsidRPr="00637ED9">
        <w:rPr>
          <w:rFonts w:ascii="Times New Roman" w:eastAsia="Georgia" w:hAnsi="Times New Roman" w:cs="Times New Roman"/>
          <w:sz w:val="24"/>
          <w:szCs w:val="24"/>
          <w:vertAlign w:val="superscript"/>
        </w:rPr>
        <w:footnoteReference w:id="37"/>
      </w:r>
    </w:p>
    <w:p w:rsidR="00035D8D" w:rsidRPr="00637ED9" w:rsidRDefault="00B434B0" w:rsidP="00D96BF4">
      <w:pPr>
        <w:spacing w:after="240" w:line="480" w:lineRule="auto"/>
        <w:jc w:val="both"/>
        <w:rPr>
          <w:rFonts w:ascii="Times New Roman" w:eastAsia="Georgia" w:hAnsi="Times New Roman" w:cs="Times New Roman"/>
          <w:b/>
          <w:bCs/>
          <w:sz w:val="28"/>
          <w:szCs w:val="28"/>
        </w:rPr>
      </w:pPr>
      <w:r w:rsidRPr="00637ED9">
        <w:rPr>
          <w:rFonts w:ascii="Times New Roman" w:eastAsia="Georgia" w:hAnsi="Times New Roman" w:cs="Times New Roman"/>
          <w:b/>
          <w:bCs/>
          <w:sz w:val="28"/>
          <w:szCs w:val="28"/>
        </w:rPr>
        <w:t>2.2 A Critical Perspective on Fukuyama’s Liberalism</w:t>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Samuel P. Huntington’s </w:t>
      </w:r>
      <w:r w:rsidRPr="00637ED9">
        <w:rPr>
          <w:rFonts w:ascii="Times New Roman" w:eastAsia="Georgia" w:hAnsi="Times New Roman" w:cs="Times New Roman"/>
          <w:i/>
          <w:sz w:val="24"/>
          <w:szCs w:val="24"/>
        </w:rPr>
        <w:t>The Clash of Civilization</w:t>
      </w:r>
      <w:r w:rsidRPr="00637ED9">
        <w:rPr>
          <w:rFonts w:ascii="Times New Roman" w:eastAsia="Georgia" w:hAnsi="Times New Roman" w:cs="Times New Roman"/>
          <w:sz w:val="24"/>
          <w:szCs w:val="24"/>
        </w:rPr>
        <w:t xml:space="preserve"> published in Foreign affairs (summer, 1993) offered Americans to look for a new phase in world politics. Said (2201) in his article ‘The Clash of Ignorance’ contemplates that “Huntington’s terms of argument seemed compellingly large, bold, even visionary” and even Said considered this idea to be creating rivalries among theorists and one of them being Fukuyama and his “end of history”. As Huntington quoted in Said, pointed out, “It is my [Huntington’s] hypothesis that the fundamental source of conflict in this new world will not be primarily ideological or primarily economic. The great divisions among humankind and the dominating source of conflict will be cultural. Nation states will remain the most powerful actors in world affairs, but the principal conflicts of global politics will occur between nations and groups of different civilizations. The clash of civilizations will dominate global politics. The fault lines between civilizations will be the battle lines of the future." Said provided his arguments considering Huntington’s notion of “civilization identity” and “the </w:t>
      </w:r>
      <w:r w:rsidRPr="00637ED9">
        <w:rPr>
          <w:rFonts w:ascii="Times New Roman" w:eastAsia="Georgia" w:hAnsi="Times New Roman" w:cs="Times New Roman"/>
          <w:sz w:val="24"/>
          <w:szCs w:val="24"/>
        </w:rPr>
        <w:lastRenderedPageBreak/>
        <w:t>interaction among seven or eigh</w:t>
      </w:r>
      <w:r w:rsidR="001108C9">
        <w:rPr>
          <w:rFonts w:ascii="Times New Roman" w:eastAsia="Georgia" w:hAnsi="Times New Roman" w:cs="Times New Roman"/>
          <w:sz w:val="24"/>
          <w:szCs w:val="24"/>
        </w:rPr>
        <w:t>t major civilizations”. B</w:t>
      </w:r>
      <w:r w:rsidRPr="00637ED9">
        <w:rPr>
          <w:rFonts w:ascii="Times New Roman" w:eastAsia="Georgia" w:hAnsi="Times New Roman" w:cs="Times New Roman"/>
          <w:sz w:val="24"/>
          <w:szCs w:val="24"/>
        </w:rPr>
        <w:t>ut according to Said the major attention has been given over “Islam and the West”.</w:t>
      </w:r>
      <w:r w:rsidRPr="00637ED9">
        <w:rPr>
          <w:rFonts w:ascii="Times New Roman" w:eastAsia="Georgia" w:hAnsi="Times New Roman" w:cs="Times New Roman"/>
          <w:sz w:val="24"/>
          <w:szCs w:val="24"/>
          <w:vertAlign w:val="superscript"/>
        </w:rPr>
        <w:footnoteReference w:id="38"/>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Huntington pointed out that conflicts in wor</w:t>
      </w:r>
      <w:r w:rsidR="009945F9">
        <w:rPr>
          <w:rFonts w:ascii="Times New Roman" w:eastAsia="Georgia" w:hAnsi="Times New Roman" w:cs="Times New Roman"/>
          <w:sz w:val="24"/>
          <w:szCs w:val="24"/>
        </w:rPr>
        <w:t>ld politics in future would be West vs. N</w:t>
      </w:r>
      <w:r w:rsidRPr="00637ED9">
        <w:rPr>
          <w:rFonts w:ascii="Times New Roman" w:eastAsia="Georgia" w:hAnsi="Times New Roman" w:cs="Times New Roman"/>
          <w:sz w:val="24"/>
          <w:szCs w:val="24"/>
        </w:rPr>
        <w:t xml:space="preserve">on-western civilizations. From Stuart Hall’s point of view, the </w:t>
      </w:r>
      <w:r w:rsidR="009945F9">
        <w:rPr>
          <w:rFonts w:ascii="Times New Roman" w:eastAsia="Georgia" w:hAnsi="Times New Roman" w:cs="Times New Roman"/>
          <w:sz w:val="24"/>
          <w:szCs w:val="24"/>
        </w:rPr>
        <w:t>conflict can be stated as “the West vs the R</w:t>
      </w:r>
      <w:r w:rsidR="00396999">
        <w:rPr>
          <w:rFonts w:ascii="Times New Roman" w:eastAsia="Georgia" w:hAnsi="Times New Roman" w:cs="Times New Roman"/>
          <w:sz w:val="24"/>
          <w:szCs w:val="24"/>
        </w:rPr>
        <w:t xml:space="preserve">est”, </w:t>
      </w:r>
      <w:r w:rsidRPr="00637ED9">
        <w:rPr>
          <w:rFonts w:ascii="Times New Roman" w:eastAsia="Georgia" w:hAnsi="Times New Roman" w:cs="Times New Roman"/>
          <w:sz w:val="24"/>
          <w:szCs w:val="24"/>
        </w:rPr>
        <w:t>and that from Edward W. Said’s point turns into Islam vs the West.</w:t>
      </w:r>
      <w:r w:rsidRPr="00637ED9">
        <w:rPr>
          <w:rFonts w:ascii="Times New Roman" w:eastAsia="Georgia" w:hAnsi="Times New Roman" w:cs="Times New Roman"/>
          <w:sz w:val="24"/>
          <w:szCs w:val="24"/>
          <w:vertAlign w:val="superscript"/>
        </w:rPr>
        <w:footnoteReference w:id="39"/>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Huntington has mainly shifted from Fukuyama’s view of achieving universal homogenous state at the end of history. According to Huntington, in the new age of post-cold war, nations and groups of different civilizations are source of conflicts in global politics. Conflict arises through “the interactions among seven or eight major civilizations”.</w:t>
      </w:r>
      <w:r w:rsidRPr="00637ED9">
        <w:rPr>
          <w:rFonts w:ascii="Times New Roman" w:eastAsia="Georgia" w:hAnsi="Times New Roman" w:cs="Times New Roman"/>
          <w:sz w:val="24"/>
          <w:szCs w:val="24"/>
          <w:vertAlign w:val="superscript"/>
        </w:rPr>
        <w:footnoteReference w:id="40"/>
      </w:r>
      <w:r w:rsidRPr="00637ED9">
        <w:rPr>
          <w:rFonts w:ascii="Times New Roman" w:eastAsia="Georgia" w:hAnsi="Times New Roman" w:cs="Times New Roman"/>
          <w:sz w:val="24"/>
          <w:szCs w:val="24"/>
        </w:rPr>
        <w:t xml:space="preserve"> Huntington and Fukuyama have some major </w:t>
      </w:r>
      <w:r w:rsidR="00396999">
        <w:rPr>
          <w:rFonts w:ascii="Times New Roman" w:eastAsia="Georgia" w:hAnsi="Times New Roman" w:cs="Times New Roman"/>
          <w:sz w:val="24"/>
          <w:szCs w:val="24"/>
        </w:rPr>
        <w:t>dissimilarities</w:t>
      </w:r>
      <w:r w:rsidRPr="00637ED9">
        <w:rPr>
          <w:rFonts w:ascii="Times New Roman" w:eastAsia="Georgia" w:hAnsi="Times New Roman" w:cs="Times New Roman"/>
          <w:sz w:val="24"/>
          <w:szCs w:val="24"/>
        </w:rPr>
        <w:t xml:space="preserve"> but what makes them unique is that in several points they are similar which can be pointed out. Edward W. Said never criticized Fukuyama. But a relational line can be drawn through which Said’s view can be reflected upon Fukuyama as well. </w:t>
      </w:r>
    </w:p>
    <w:p w:rsidR="00035D8D" w:rsidRPr="00637ED9" w:rsidRDefault="00B434B0" w:rsidP="00D96BF4">
      <w:pPr>
        <w:spacing w:after="240" w:line="480" w:lineRule="auto"/>
        <w:jc w:val="both"/>
        <w:rPr>
          <w:rFonts w:ascii="Times New Roman" w:eastAsia="Georgia" w:hAnsi="Times New Roman" w:cs="Times New Roman"/>
          <w:b/>
          <w:bCs/>
          <w:sz w:val="28"/>
          <w:szCs w:val="28"/>
        </w:rPr>
      </w:pPr>
      <w:r w:rsidRPr="00637ED9">
        <w:rPr>
          <w:rFonts w:ascii="Times New Roman" w:eastAsia="Georgia" w:hAnsi="Times New Roman" w:cs="Times New Roman"/>
          <w:b/>
          <w:bCs/>
          <w:sz w:val="28"/>
          <w:szCs w:val="28"/>
        </w:rPr>
        <w:t xml:space="preserve">2.2.1 Said on Huntington’s Clash of Civilization  </w:t>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Said has discovered that Huntington relies heavily on veteran orientalist Bernard Lewis’s 1990 article titled ‘The Roots of Muslim Rage,” by stating “neither Huntington nor Lewis has much time to spare for the internal dynamics and plurality of every civilization, or because the major contest in most modern cultures concerns the definition or interpretation of each culture, or for the unattractive possibility that a great deal of demagogy and downright ignorance is involved in presuming to speak for a whole religion or civilization. No, the West is the West, and</w:t>
      </w:r>
      <w:r w:rsidR="00A524B2">
        <w:rPr>
          <w:rFonts w:ascii="Times New Roman" w:eastAsia="Georgia" w:hAnsi="Times New Roman" w:cs="Times New Roman"/>
          <w:sz w:val="24"/>
          <w:szCs w:val="24"/>
        </w:rPr>
        <w:t xml:space="preserve"> the</w:t>
      </w:r>
      <w:r w:rsidRPr="00637ED9">
        <w:rPr>
          <w:rFonts w:ascii="Times New Roman" w:eastAsia="Georgia" w:hAnsi="Times New Roman" w:cs="Times New Roman"/>
          <w:sz w:val="24"/>
          <w:szCs w:val="24"/>
        </w:rPr>
        <w:t xml:space="preserve"> Islam </w:t>
      </w:r>
      <w:r w:rsidR="00A524B2">
        <w:rPr>
          <w:rFonts w:ascii="Times New Roman" w:eastAsia="Georgia" w:hAnsi="Times New Roman" w:cs="Times New Roman"/>
          <w:sz w:val="24"/>
          <w:szCs w:val="24"/>
        </w:rPr>
        <w:lastRenderedPageBreak/>
        <w:t>is the Islam.” Said referred</w:t>
      </w:r>
      <w:r w:rsidRPr="00637ED9">
        <w:rPr>
          <w:rFonts w:ascii="Times New Roman" w:eastAsia="Georgia" w:hAnsi="Times New Roman" w:cs="Times New Roman"/>
          <w:sz w:val="24"/>
          <w:szCs w:val="24"/>
        </w:rPr>
        <w:t xml:space="preserve"> Hunti</w:t>
      </w:r>
      <w:r w:rsidR="00396999">
        <w:rPr>
          <w:rFonts w:ascii="Times New Roman" w:eastAsia="Georgia" w:hAnsi="Times New Roman" w:cs="Times New Roman"/>
          <w:sz w:val="24"/>
          <w:szCs w:val="24"/>
        </w:rPr>
        <w:t xml:space="preserve">ngton as an </w:t>
      </w:r>
      <w:r w:rsidR="00A524B2">
        <w:rPr>
          <w:rFonts w:ascii="Times New Roman" w:eastAsia="Georgia" w:hAnsi="Times New Roman" w:cs="Times New Roman"/>
          <w:sz w:val="24"/>
          <w:szCs w:val="24"/>
        </w:rPr>
        <w:t>“</w:t>
      </w:r>
      <w:r w:rsidR="00396999">
        <w:rPr>
          <w:rFonts w:ascii="Times New Roman" w:eastAsia="Georgia" w:hAnsi="Times New Roman" w:cs="Times New Roman"/>
          <w:sz w:val="24"/>
          <w:szCs w:val="24"/>
        </w:rPr>
        <w:t>ideologist</w:t>
      </w:r>
      <w:r w:rsidR="00A524B2">
        <w:rPr>
          <w:rFonts w:ascii="Times New Roman" w:eastAsia="Georgia" w:hAnsi="Times New Roman" w:cs="Times New Roman"/>
          <w:sz w:val="24"/>
          <w:szCs w:val="24"/>
        </w:rPr>
        <w:t>” who wants</w:t>
      </w:r>
      <w:r w:rsidRPr="00637ED9">
        <w:rPr>
          <w:rFonts w:ascii="Times New Roman" w:eastAsia="Georgia" w:hAnsi="Times New Roman" w:cs="Times New Roman"/>
          <w:sz w:val="24"/>
          <w:szCs w:val="24"/>
        </w:rPr>
        <w:t xml:space="preserve"> to create artificial interpretations of “civilizations” and “identities</w:t>
      </w:r>
      <w:r w:rsidR="00A524B2">
        <w:rPr>
          <w:rFonts w:ascii="Times New Roman" w:eastAsia="Georgia" w:hAnsi="Times New Roman" w:cs="Times New Roman"/>
          <w:sz w:val="24"/>
          <w:szCs w:val="24"/>
        </w:rPr>
        <w:t>” that are</w:t>
      </w:r>
      <w:r w:rsidRPr="00637ED9">
        <w:rPr>
          <w:rFonts w:ascii="Times New Roman" w:eastAsia="Georgia" w:hAnsi="Times New Roman" w:cs="Times New Roman"/>
          <w:sz w:val="24"/>
          <w:szCs w:val="24"/>
        </w:rPr>
        <w:t xml:space="preserve"> not true. According to Said, the basic paradigm of west versus the rest “remained untouched” and “suicide attack and mass slaughter by a small group of deranged militants has been turned into proof of Huntington’s thesis.” However, Said points Osama bin Laden as a cult leader and adds Branch Davidians and disciples of the Rev. Jim Jones for parallel comparison.</w:t>
      </w:r>
      <w:r w:rsidRPr="00637ED9">
        <w:rPr>
          <w:rFonts w:ascii="Times New Roman" w:eastAsia="Georgia" w:hAnsi="Times New Roman" w:cs="Times New Roman"/>
          <w:sz w:val="24"/>
          <w:szCs w:val="24"/>
          <w:vertAlign w:val="superscript"/>
        </w:rPr>
        <w:footnoteReference w:id="41"/>
      </w:r>
    </w:p>
    <w:p w:rsidR="00035D8D" w:rsidRPr="00637ED9" w:rsidRDefault="00B434B0" w:rsidP="00D96BF4">
      <w:pPr>
        <w:spacing w:after="240" w:line="480" w:lineRule="auto"/>
        <w:jc w:val="both"/>
        <w:rPr>
          <w:rFonts w:ascii="Times New Roman" w:eastAsia="Georgia" w:hAnsi="Times New Roman" w:cs="Times New Roman"/>
          <w:b/>
          <w:bCs/>
          <w:sz w:val="28"/>
          <w:szCs w:val="28"/>
        </w:rPr>
      </w:pPr>
      <w:r w:rsidRPr="00637ED9">
        <w:rPr>
          <w:rFonts w:ascii="Times New Roman" w:eastAsia="Georgia" w:hAnsi="Times New Roman" w:cs="Times New Roman"/>
          <w:b/>
          <w:bCs/>
          <w:sz w:val="28"/>
          <w:szCs w:val="28"/>
        </w:rPr>
        <w:t>2.2.2 Huntington and Fukuyama: Similarity within Variations</w:t>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According to Fukuyama (1989), class issues have been successfully resolved in the west. The appeal of communism is lower in the developed western world. Major Ideological transformations with most impact have occurred in Asia. Liberalism in Asia was very weak in the period after World War I. Fukuyama considers the government of imperial Japan fascist alongside German fascism. This can be classified as the general viewpoint of Fukuyama about the east. Fukuyama is happy about it that Americans using arms defeated Japanese fascism and imposed liberal democracy. Japan adopted western capitalism alongside political liberalism but transformed it solely.</w:t>
      </w:r>
      <w:r w:rsidRPr="00637ED9">
        <w:rPr>
          <w:rFonts w:ascii="Times New Roman" w:eastAsia="Georgia" w:hAnsi="Times New Roman" w:cs="Times New Roman"/>
          <w:sz w:val="24"/>
          <w:szCs w:val="24"/>
          <w:vertAlign w:val="superscript"/>
        </w:rPr>
        <w:footnoteReference w:id="42"/>
      </w:r>
      <w:r w:rsidRPr="00637ED9">
        <w:rPr>
          <w:rFonts w:ascii="Times New Roman" w:eastAsia="Georgia" w:hAnsi="Times New Roman" w:cs="Times New Roman"/>
          <w:sz w:val="24"/>
          <w:szCs w:val="24"/>
        </w:rPr>
        <w:t xml:space="preserve"> Also, Japan ensured consumer culture (also economic liberalism) spreading throughout Asia and promoting political liberalism as well. This has been the reason for Japan being in the example by Fukuyama. But in “The Clash of Civilizations (1993) and The Clash of Civilizations and The Remaking of World Order (1996), Samuel P. Huntington rejected Fukuyama’s </w:t>
      </w:r>
      <w:r w:rsidRPr="00637ED9">
        <w:rPr>
          <w:rFonts w:ascii="Times New Roman" w:eastAsia="Georgia" w:hAnsi="Times New Roman" w:cs="Times New Roman"/>
          <w:i/>
          <w:sz w:val="24"/>
          <w:szCs w:val="24"/>
        </w:rPr>
        <w:t>End of History</w:t>
      </w:r>
      <w:r w:rsidRPr="00637ED9">
        <w:rPr>
          <w:rFonts w:ascii="Times New Roman" w:eastAsia="Georgia" w:hAnsi="Times New Roman" w:cs="Times New Roman"/>
          <w:sz w:val="24"/>
          <w:szCs w:val="24"/>
        </w:rPr>
        <w:t xml:space="preserve"> as an illusion of harmony.</w:t>
      </w:r>
      <w:r w:rsidRPr="00637ED9">
        <w:rPr>
          <w:rFonts w:ascii="Times New Roman" w:eastAsia="Georgia" w:hAnsi="Times New Roman" w:cs="Times New Roman"/>
          <w:sz w:val="24"/>
          <w:szCs w:val="24"/>
          <w:vertAlign w:val="superscript"/>
        </w:rPr>
        <w:footnoteReference w:id="43"/>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lastRenderedPageBreak/>
        <w:t>But interestingly both theorists draw a meta-physical implication from the end of the cold war. And through this implication they try to project a grand theory of history. Political theorist Fred Haliday observed that in cultural speculation, the great winner has been the theory of the clash of civilizations.</w:t>
      </w:r>
      <w:r w:rsidRPr="00637ED9">
        <w:rPr>
          <w:rFonts w:ascii="Times New Roman" w:eastAsia="Georgia" w:hAnsi="Times New Roman" w:cs="Times New Roman"/>
          <w:sz w:val="24"/>
          <w:szCs w:val="24"/>
          <w:vertAlign w:val="superscript"/>
        </w:rPr>
        <w:footnoteReference w:id="44"/>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Alongside contradictions between Fukuyama and Huntington; Fukuyama contributes to Huntington’s self-contradictory system of history. And Huntington enriches Fukuyama’s idea of history by unveiling the last moments of historical dialectics. Huntington differs from Fukuyama in methodological assumptions and predictions from Fukuyama’s arguments. He criticizes endism as “oriented to the future rather than the past and is unabashedly optimistic.</w:t>
      </w:r>
      <w:r w:rsidRPr="00637ED9">
        <w:rPr>
          <w:rFonts w:ascii="Times New Roman" w:eastAsia="Georgia" w:hAnsi="Times New Roman" w:cs="Times New Roman"/>
          <w:sz w:val="24"/>
          <w:szCs w:val="24"/>
          <w:vertAlign w:val="superscript"/>
        </w:rPr>
        <w:footnoteReference w:id="45"/>
      </w:r>
      <w:r w:rsidRPr="00637ED9">
        <w:rPr>
          <w:rFonts w:ascii="Times New Roman" w:eastAsia="Georgia" w:hAnsi="Times New Roman" w:cs="Times New Roman"/>
          <w:sz w:val="24"/>
          <w:szCs w:val="24"/>
        </w:rPr>
        <w:t xml:space="preserve"> Fukuyama’s history is driven by human economic desire and thymos or spiritedness, respectively reflected in the progressivity of science and in the master-slave dialectic. For Huntington, one clear trend of history is the amalgamation of smaller units into larger ones, and modern history is understood as the history of conflicts of broadening scope.</w:t>
      </w:r>
      <w:r w:rsidRPr="00637ED9">
        <w:rPr>
          <w:rFonts w:ascii="Times New Roman" w:eastAsia="Georgia" w:hAnsi="Times New Roman" w:cs="Times New Roman"/>
          <w:sz w:val="24"/>
          <w:szCs w:val="24"/>
          <w:vertAlign w:val="superscript"/>
        </w:rPr>
        <w:footnoteReference w:id="46"/>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For Fukuyama, the desire for identification is the human propensity. It can define oneself and is satisfied only when “we know who we are not and often only when we know whom we are against.”</w:t>
      </w:r>
      <w:r w:rsidRPr="00637ED9">
        <w:rPr>
          <w:rFonts w:ascii="Times New Roman" w:eastAsia="Georgia" w:hAnsi="Times New Roman" w:cs="Times New Roman"/>
          <w:sz w:val="24"/>
          <w:szCs w:val="24"/>
          <w:vertAlign w:val="superscript"/>
        </w:rPr>
        <w:footnoteReference w:id="47"/>
      </w:r>
      <w:r w:rsidRPr="00637ED9">
        <w:rPr>
          <w:rFonts w:ascii="Times New Roman" w:eastAsia="Georgia" w:hAnsi="Times New Roman" w:cs="Times New Roman"/>
          <w:sz w:val="24"/>
          <w:szCs w:val="24"/>
        </w:rPr>
        <w:t xml:space="preserve"> According to Huntington, civilization refers to “the highest cultural grouping of </w:t>
      </w:r>
      <w:r w:rsidRPr="00637ED9">
        <w:rPr>
          <w:rFonts w:ascii="Times New Roman" w:eastAsia="Georgia" w:hAnsi="Times New Roman" w:cs="Times New Roman"/>
          <w:sz w:val="24"/>
          <w:szCs w:val="24"/>
        </w:rPr>
        <w:lastRenderedPageBreak/>
        <w:t xml:space="preserve">people and the broadest level of cultural identity,” or “a deterministic totality that is not reducible to </w:t>
      </w:r>
      <w:r w:rsidR="000C082A" w:rsidRPr="00637ED9">
        <w:rPr>
          <w:rFonts w:ascii="Times New Roman" w:eastAsia="Georgia" w:hAnsi="Times New Roman" w:cs="Times New Roman"/>
          <w:sz w:val="24"/>
          <w:szCs w:val="24"/>
        </w:rPr>
        <w:t>religion</w:t>
      </w:r>
      <w:r w:rsidRPr="00637ED9">
        <w:rPr>
          <w:rFonts w:ascii="Times New Roman" w:eastAsia="Georgia" w:hAnsi="Times New Roman" w:cs="Times New Roman"/>
          <w:sz w:val="24"/>
          <w:szCs w:val="24"/>
        </w:rPr>
        <w:t>, ethnicity, geography, or attitude… [but] gestures to all these factors.”</w:t>
      </w:r>
      <w:r w:rsidRPr="00637ED9">
        <w:rPr>
          <w:rFonts w:ascii="Times New Roman" w:eastAsia="Georgia" w:hAnsi="Times New Roman" w:cs="Times New Roman"/>
          <w:sz w:val="24"/>
          <w:szCs w:val="24"/>
          <w:vertAlign w:val="superscript"/>
        </w:rPr>
        <w:footnoteReference w:id="48"/>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As this friend-enemy distinction is clearly drawn, conflicts arise. The history of conflicts therefore reflects the dialectical and also a paradoxical process. According to Huntington, civilizations have “no clear-cut boundaries and no precise beginnings and endings,” and people “can and do redefine their identities.” Also, civilizations are long-lived, but still mortal.</w:t>
      </w:r>
      <w:r w:rsidRPr="00637ED9">
        <w:rPr>
          <w:rFonts w:ascii="Times New Roman" w:eastAsia="Georgia" w:hAnsi="Times New Roman" w:cs="Times New Roman"/>
          <w:sz w:val="24"/>
          <w:szCs w:val="24"/>
          <w:vertAlign w:val="superscript"/>
        </w:rPr>
        <w:footnoteReference w:id="49"/>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Yang (2010) stated Huntington’s history, unlike Fukuyama’s history, explicitly articulates a trend toward external expansion of recognition, conflict, and community—the broadest of which, according to Huntington, is civilization.</w:t>
      </w:r>
      <w:r w:rsidRPr="00637ED9">
        <w:rPr>
          <w:rFonts w:ascii="Times New Roman" w:eastAsia="Georgia" w:hAnsi="Times New Roman" w:cs="Times New Roman"/>
          <w:sz w:val="24"/>
          <w:szCs w:val="24"/>
          <w:vertAlign w:val="superscript"/>
        </w:rPr>
        <w:footnoteReference w:id="50"/>
      </w:r>
      <w:r w:rsidRPr="00637ED9">
        <w:rPr>
          <w:rFonts w:ascii="Times New Roman" w:eastAsia="Georgia" w:hAnsi="Times New Roman" w:cs="Times New Roman"/>
          <w:sz w:val="24"/>
          <w:szCs w:val="24"/>
        </w:rPr>
        <w:t xml:space="preserve"> According to Yang, Hegel is fully aware of friend-enemy dialectics when he thinks that war is necessary both for internal consolidation and external recognition of the state. Fukuyama disagrees with the necessity of war. He plans it in terms of social capital and radius of trust, a close equivalent of the friend-enemy dialectics. Yang also states that Fukuyama and Huntington illuminates both identity alongside the progressive logic of dialectics and the cumulative trend of technological evolution as a motor of history. For Fukuyama, the directionality of technology irreversibly tends towards economic liberalism in the era of high-tech communication and transportation. For Huntington, the cumulative nature of technology, in parallel to the expansionary friend-enemy dialectic, also makes up a coherent pattern of history: the trend of progressive intensification of civilizational interactions.</w:t>
      </w:r>
      <w:r w:rsidRPr="00637ED9">
        <w:rPr>
          <w:rFonts w:ascii="Times New Roman" w:eastAsia="Georgia" w:hAnsi="Times New Roman" w:cs="Times New Roman"/>
          <w:sz w:val="24"/>
          <w:szCs w:val="24"/>
          <w:vertAlign w:val="superscript"/>
        </w:rPr>
        <w:footnoteReference w:id="51"/>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lastRenderedPageBreak/>
        <w:t>For Huntington, a historically peculiar fact of today’s multi-civilizational era is the ripe possibility of the Clash of Civilizations, as the west hegemony is in a growing tension with the economic dynamism of Asia and the demographic dynamism of Islam. On the one hand, the rapid rates of economic growth have encouraged cultural assertiveness in Asia. This rapid economic development was largely attributed to the “Asian values”—communitarian values such as discipline, responsibility, diligence, and obedience. Lee Kuan Yew, the long-time Singaporean Prime Minister, asserted that the ‘East Asia model’ of economic growth rooted in Confucianism and benevolent authoritarianism was a functioning alternative to western liberal democratic capitalism. Rapid rates of demographic growth fueled cultural assertiveness in the Islamic world, which presented a challenge to the west on both cultural and military fronts. Between 1965 and 1990, the population in Muslim societies grew annually at 2-3 percent, while the world population grew at the annual rate of 1.85 percent. Muslims made up around 18 percent of the world’s population in 1980 and are predicted to grow to 30 percent in 2025.</w:t>
      </w:r>
      <w:r w:rsidRPr="00637ED9">
        <w:rPr>
          <w:rFonts w:ascii="Times New Roman" w:eastAsia="Georgia" w:hAnsi="Times New Roman" w:cs="Times New Roman"/>
          <w:sz w:val="24"/>
          <w:szCs w:val="24"/>
          <w:vertAlign w:val="superscript"/>
        </w:rPr>
        <w:footnoteReference w:id="52"/>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According to Huntington, the Islamic population growth was most concentrated in a large bulge of youth, which forms a significant source of social instability, recruits for terrorists, and immigration to other countries. The Islamic resurgence and militant Islam were products of this demographic dynamism, combined with other situational factors such as frustration with unsuccessful modernization, the absence of pluralism and open politics, and historical resentment against western imperialism.</w:t>
      </w:r>
      <w:r w:rsidRPr="00637ED9">
        <w:rPr>
          <w:rFonts w:ascii="Times New Roman" w:eastAsia="Georgia" w:hAnsi="Times New Roman" w:cs="Times New Roman"/>
          <w:sz w:val="24"/>
          <w:szCs w:val="24"/>
          <w:vertAlign w:val="superscript"/>
        </w:rPr>
        <w:footnoteReference w:id="53"/>
      </w:r>
      <w:r w:rsidRPr="00637ED9">
        <w:rPr>
          <w:rFonts w:ascii="Times New Roman" w:eastAsia="Georgia" w:hAnsi="Times New Roman" w:cs="Times New Roman"/>
          <w:sz w:val="24"/>
          <w:szCs w:val="24"/>
        </w:rPr>
        <w:t xml:space="preserve"> Islamic cultural assertiveness made up a substantial cultural and even military challenge to western attempts at democratization. Huntington in fact regards Islamic demographic dynamism as a crucial contributing factor to what he calls the </w:t>
      </w:r>
      <w:r w:rsidRPr="00637ED9">
        <w:rPr>
          <w:rFonts w:ascii="Times New Roman" w:eastAsia="Georgia" w:hAnsi="Times New Roman" w:cs="Times New Roman"/>
          <w:sz w:val="24"/>
          <w:szCs w:val="24"/>
        </w:rPr>
        <w:lastRenderedPageBreak/>
        <w:t>“bloody borders of Islam”: Muslims took part in 26 out of 50 ethno-political conflicts in 1993 and 1994 and there were three times as many inter-civilizational conflicts involving Muslims as there were conflicts among all non-Muslim civilizations.</w:t>
      </w:r>
      <w:r w:rsidRPr="00637ED9">
        <w:rPr>
          <w:rFonts w:ascii="Times New Roman" w:eastAsia="Georgia" w:hAnsi="Times New Roman" w:cs="Times New Roman"/>
          <w:sz w:val="24"/>
          <w:szCs w:val="24"/>
          <w:vertAlign w:val="superscript"/>
        </w:rPr>
        <w:footnoteReference w:id="54"/>
      </w:r>
      <w:r w:rsidRPr="00637ED9">
        <w:rPr>
          <w:rFonts w:ascii="Times New Roman" w:eastAsia="Georgia" w:hAnsi="Times New Roman" w:cs="Times New Roman"/>
          <w:sz w:val="24"/>
          <w:szCs w:val="24"/>
        </w:rPr>
        <w:t xml:space="preserve"> Ultimately, Yang (2010) pointed out the differences critics see between Huntington and Fukuyama: First, the notion of culture, Huntington’s master-concept, is missing in Fukuyama’s system. Second, Huntington and Fukuyama disagree on the feasibility and desirability of global democratization and the compatibility of liberal democracy with Islamic and Sinic cultures in particular.</w:t>
      </w:r>
      <w:r w:rsidRPr="00637ED9">
        <w:rPr>
          <w:rFonts w:ascii="Times New Roman" w:eastAsia="Georgia" w:hAnsi="Times New Roman" w:cs="Times New Roman"/>
          <w:sz w:val="24"/>
          <w:szCs w:val="24"/>
          <w:vertAlign w:val="superscript"/>
        </w:rPr>
        <w:footnoteReference w:id="55"/>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Fukuyama’s approach to the clash between the American and Asian civilizations best illustrates his awareness of the hidden tension between community and individual but still thinks west is righter than being wrong. According to Fukuyama, one of the main reasons the American model of democracy might be unattractive to Asian countries is the perceived decline in the American quality of life: growing crime, the dissolution of the family, and excessive individualism—that is, the decline of social capital, or the “Great Disruption”. Similarity can be seen within the dialectic underlying Huntington’s history—which can be stated as the “friend-enemy dialectic”. This is like the Kojève-Hegelian master-slave dialectic, as interpreted by Fukuyama, in that both dialectics stem from the desire for inter</w:t>
      </w:r>
      <w:r w:rsidR="00C93FA1">
        <w:rPr>
          <w:rFonts w:ascii="Times New Roman" w:eastAsia="Georgia" w:hAnsi="Times New Roman" w:cs="Times New Roman"/>
          <w:sz w:val="24"/>
          <w:szCs w:val="24"/>
        </w:rPr>
        <w:t>-</w:t>
      </w:r>
      <w:r w:rsidRPr="00637ED9">
        <w:rPr>
          <w:rFonts w:ascii="Times New Roman" w:eastAsia="Georgia" w:hAnsi="Times New Roman" w:cs="Times New Roman"/>
          <w:sz w:val="24"/>
          <w:szCs w:val="24"/>
        </w:rPr>
        <w:t>subjective recognition. The recognition for both Fukuyama and Huntington are quite the same as both have a western perspective and both see the west much more productive and reasonable. But to point out similarity, Fukuyama’s concept of “radius of trust,” an equivalent of the Huntingtonian friend-enemy dialectic, reveals the most direct and straightforward connection between Fukuyama and Huntington.</w:t>
      </w:r>
      <w:r w:rsidRPr="00637ED9">
        <w:rPr>
          <w:rFonts w:ascii="Times New Roman" w:eastAsia="Georgia" w:hAnsi="Times New Roman" w:cs="Times New Roman"/>
          <w:sz w:val="24"/>
          <w:szCs w:val="24"/>
          <w:vertAlign w:val="superscript"/>
        </w:rPr>
        <w:footnoteReference w:id="56"/>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lastRenderedPageBreak/>
        <w:t>The net utility of social capital needs to be measured regarding “radius of trust,” the circle of people among whom cooperation is possible. The concentration of social capital in a narrow radius of trust, as exem</w:t>
      </w:r>
      <w:r w:rsidR="00C93FA1">
        <w:rPr>
          <w:rFonts w:ascii="Times New Roman" w:eastAsia="Georgia" w:hAnsi="Times New Roman" w:cs="Times New Roman"/>
          <w:sz w:val="24"/>
          <w:szCs w:val="24"/>
        </w:rPr>
        <w:t>plified by exclusive familialism</w:t>
      </w:r>
      <w:r w:rsidRPr="00637ED9">
        <w:rPr>
          <w:rFonts w:ascii="Times New Roman" w:eastAsia="Georgia" w:hAnsi="Times New Roman" w:cs="Times New Roman"/>
          <w:sz w:val="24"/>
          <w:szCs w:val="24"/>
        </w:rPr>
        <w:t xml:space="preserve"> in South Italy or China, implies the relative lack of cooperative norms in overall society. The enlargement of the radius of trust is as essential as the creation of social capital for the overall health of civil society.</w:t>
      </w:r>
      <w:r w:rsidRPr="00637ED9">
        <w:rPr>
          <w:rFonts w:ascii="Times New Roman" w:eastAsia="Georgia" w:hAnsi="Times New Roman" w:cs="Times New Roman"/>
          <w:sz w:val="24"/>
          <w:szCs w:val="24"/>
          <w:vertAlign w:val="superscript"/>
        </w:rPr>
        <w:footnoteReference w:id="57"/>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According to Yang, Huntington’s expansionary friend-enemy dialectic, in this sense, can be understood as the dialectical enlargement of the radius of trust (for instance, from an ideological radius of trust to a civilizational one) through conflict resolution processes. A few meaningful differences are to be noted. First, Huntington’s units of analysis range from nation-state to ideological alliance and to civilization; Fukuyama’s units of analysis are usually on a domestic scale, ranging from family to nation-state. Second, for Huntington, the enlargement of the radius of trust (or more accurately, the radius of identification) has an intrinsic value as a manifestation of the human desire for identification; for Fukuyama, the broadening of the radius of trust merely has instrumental value because it functions to sustain civil society, which is necessary for liberal democracy. Third, Huntington simply describes how the radius of trust has been broadened, while Fukuyama makes a normative statement that it should be broadened further. Finally, Huntington observes that the expansion of the radius of trust beyond the level of civilization (the broadest cultural grouping) is unlikely; Fukuyama would advocate and expect that the radius of trust would expand to the level of humanity, as in universal human rights. Fukuyama thinks that </w:t>
      </w:r>
      <w:r w:rsidRPr="00637ED9">
        <w:rPr>
          <w:rFonts w:ascii="Times New Roman" w:eastAsia="Georgia" w:hAnsi="Times New Roman" w:cs="Times New Roman"/>
          <w:sz w:val="24"/>
          <w:szCs w:val="24"/>
        </w:rPr>
        <w:lastRenderedPageBreak/>
        <w:t>communitarian traditions such as Confucianism can not only work well with liberal democracy, which means the east stands somewhat against of western ideology.</w:t>
      </w:r>
      <w:r w:rsidRPr="00637ED9">
        <w:rPr>
          <w:rFonts w:ascii="Times New Roman" w:eastAsia="Georgia" w:hAnsi="Times New Roman" w:cs="Times New Roman"/>
          <w:sz w:val="24"/>
          <w:szCs w:val="24"/>
          <w:vertAlign w:val="superscript"/>
        </w:rPr>
        <w:footnoteReference w:id="58"/>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For Yang, Huntington’s rejection of democratic and human rights “imperialism” is much more nuanced and more compatible with Fukuyama’s recommendation of careful democratization. Huntington and Fukuyama not only agree on the potential of global democratization but also on the compatibility of democracy with Islam and Confucianism in particular—the two civilizations, according to Huntington, that are in potentially violent civilizational conflicts with the west. Fukuyama shares Huntington’s observation that Islam and Confucianism pose an obstacle to democratization in their respective areas. Both thinkers argue that both Islam and Confucianism could be made compatible with democracy, since they are, like any other major world religions, systems of “extraordinary complexity that have grown in manifold ways.”</w:t>
      </w:r>
      <w:r w:rsidRPr="00637ED9">
        <w:rPr>
          <w:rFonts w:ascii="Times New Roman" w:eastAsia="Georgia" w:hAnsi="Times New Roman" w:cs="Times New Roman"/>
          <w:sz w:val="24"/>
          <w:szCs w:val="24"/>
          <w:vertAlign w:val="superscript"/>
        </w:rPr>
        <w:footnoteReference w:id="59"/>
      </w:r>
      <w:r w:rsidRPr="00637ED9">
        <w:rPr>
          <w:rFonts w:ascii="Times New Roman" w:eastAsia="Georgia" w:hAnsi="Times New Roman" w:cs="Times New Roman"/>
          <w:sz w:val="24"/>
          <w:szCs w:val="24"/>
        </w:rPr>
        <w:t xml:space="preserve"> Christianity, regarded by Fukuyama and Huntington as the cultural origin of democracy, was used to legitimate and delegitimate both slavery and democracy (Yang, 2010). </w:t>
      </w:r>
      <w:r w:rsidRPr="00637ED9">
        <w:rPr>
          <w:rFonts w:ascii="Times New Roman" w:eastAsia="Georgia" w:hAnsi="Times New Roman" w:cs="Times New Roman"/>
          <w:sz w:val="24"/>
          <w:szCs w:val="24"/>
          <w:vertAlign w:val="superscript"/>
        </w:rPr>
        <w:footnoteReference w:id="60"/>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According to Fukuyama, the Islamic movement responsible for the events of 9/11 is not to be categorized merely as a religion or civilization; it is a type of fascism feeding on religious sentiments, equivalent to the racial fascism of early twentieth century Germany. The root causes of Islamo-fascism are not the teachings of Islam but practical factors such as failed </w:t>
      </w:r>
      <w:r w:rsidRPr="00637ED9">
        <w:rPr>
          <w:rFonts w:ascii="Times New Roman" w:eastAsia="Georgia" w:hAnsi="Times New Roman" w:cs="Times New Roman"/>
          <w:sz w:val="24"/>
          <w:szCs w:val="24"/>
        </w:rPr>
        <w:lastRenderedPageBreak/>
        <w:t>modernization, poverty, and economic stagnation, which make up “combustible material” for extremist politics.</w:t>
      </w:r>
      <w:r w:rsidRPr="00637ED9">
        <w:rPr>
          <w:rFonts w:ascii="Times New Roman" w:eastAsia="Georgia" w:hAnsi="Times New Roman" w:cs="Times New Roman"/>
          <w:sz w:val="24"/>
          <w:szCs w:val="24"/>
          <w:vertAlign w:val="superscript"/>
        </w:rPr>
        <w:footnoteReference w:id="61"/>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Fukuyama suggests that Islamo-fascism has to be defeated militarily, much like German fascism. However, for him, what is equally crucial, if not more so, is a reformation from within the Islamic world that is at “the juncture today where Christian Europe stood during the Thirty Years’ War in the seventeenth century.”</w:t>
      </w:r>
      <w:r w:rsidRPr="00637ED9">
        <w:rPr>
          <w:rFonts w:ascii="Times New Roman" w:eastAsia="Georgia" w:hAnsi="Times New Roman" w:cs="Times New Roman"/>
          <w:sz w:val="24"/>
          <w:szCs w:val="24"/>
          <w:vertAlign w:val="superscript"/>
        </w:rPr>
        <w:footnoteReference w:id="62"/>
      </w:r>
      <w:r w:rsidRPr="00637ED9">
        <w:rPr>
          <w:rFonts w:ascii="Times New Roman" w:eastAsia="Georgia" w:hAnsi="Times New Roman" w:cs="Times New Roman"/>
          <w:sz w:val="24"/>
          <w:szCs w:val="24"/>
        </w:rPr>
        <w:t>Huntington agrees in principle with Fukuyama that the current difficulty of establishing democracy in the Middle East and in China does not imply the impossibility of doing so. In response to whether some cultures are inherently unfavorable to democracy, Huntington argues that “some cultures are more favorable, some less… [but] there is [no] major culture where it would be impossible for democracy to take root” since “any great religion or culture has many diverse elements within it that can be capitalized on for a variety of purposes.”</w:t>
      </w:r>
      <w:r w:rsidRPr="00637ED9">
        <w:rPr>
          <w:rFonts w:ascii="Times New Roman" w:eastAsia="Georgia" w:hAnsi="Times New Roman" w:cs="Times New Roman"/>
          <w:sz w:val="24"/>
          <w:szCs w:val="24"/>
          <w:vertAlign w:val="superscript"/>
        </w:rPr>
        <w:footnoteReference w:id="63"/>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In short, Fukuyama and Huntington agree that both Islam and Confucianism, when the situations are ripe, will accommodate their cultural assumptions within a democratic framework, although not necessarily western in style. Huntington’s and Fukuyama’s paradigms are not just compatible, but they are also complementary. Huntington’s focus on the short-term process moderates Fukuyama’s preoccupation with the long-term result. As stated by Yang, that The Huntington-Fukuyamaean “End of the Clash of Civilizations” anticipates a full synchronization between culture and ideology.</w:t>
      </w:r>
      <w:r w:rsidRPr="00637ED9">
        <w:rPr>
          <w:rFonts w:ascii="Times New Roman" w:eastAsia="Georgia" w:hAnsi="Times New Roman" w:cs="Times New Roman"/>
          <w:sz w:val="24"/>
          <w:szCs w:val="24"/>
          <w:vertAlign w:val="superscript"/>
        </w:rPr>
        <w:footnoteReference w:id="64"/>
      </w:r>
      <w:r w:rsidRPr="00637ED9">
        <w:rPr>
          <w:rFonts w:ascii="Times New Roman" w:eastAsia="Georgia" w:hAnsi="Times New Roman" w:cs="Times New Roman"/>
          <w:sz w:val="24"/>
          <w:szCs w:val="24"/>
        </w:rPr>
        <w:t xml:space="preserve"> The composition of the two paradigms not only bolsters </w:t>
      </w:r>
      <w:r w:rsidRPr="00637ED9">
        <w:rPr>
          <w:rFonts w:ascii="Times New Roman" w:eastAsia="Georgia" w:hAnsi="Times New Roman" w:cs="Times New Roman"/>
          <w:sz w:val="24"/>
          <w:szCs w:val="24"/>
        </w:rPr>
        <w:lastRenderedPageBreak/>
        <w:t>Fukuyama’s but also Huntington’s, as the former serves as a corrective to the self-contradictory logic of the latter.</w:t>
      </w:r>
    </w:p>
    <w:p w:rsidR="0058318D"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Huntington and Fukuyama have different assumptions on the extent to which cultural identity is malleable. Fukuyama, while acknowledging several points of convergence between his and Huntington’s theories, maintains that “overall, the question is whether cultural characteristics are so rooted that there is no chance of universal values or a convergence of values. That is where I disagree.”</w:t>
      </w:r>
      <w:r w:rsidRPr="00637ED9">
        <w:rPr>
          <w:rFonts w:ascii="Times New Roman" w:eastAsia="Georgia" w:hAnsi="Times New Roman" w:cs="Times New Roman"/>
          <w:sz w:val="24"/>
          <w:szCs w:val="24"/>
          <w:vertAlign w:val="superscript"/>
        </w:rPr>
        <w:footnoteReference w:id="65"/>
      </w:r>
    </w:p>
    <w:p w:rsidR="0058318D" w:rsidRPr="0058318D" w:rsidRDefault="0058318D" w:rsidP="00D96BF4">
      <w:pPr>
        <w:pStyle w:val="ListParagraph"/>
        <w:numPr>
          <w:ilvl w:val="0"/>
          <w:numId w:val="1"/>
        </w:numPr>
        <w:spacing w:after="240" w:line="480" w:lineRule="auto"/>
        <w:jc w:val="both"/>
        <w:rPr>
          <w:rFonts w:ascii="Times New Roman" w:eastAsia="Georgia" w:hAnsi="Times New Roman" w:cs="Times New Roman"/>
          <w:b/>
          <w:bCs/>
          <w:sz w:val="28"/>
        </w:rPr>
      </w:pPr>
      <w:r w:rsidRPr="0058318D">
        <w:rPr>
          <w:rFonts w:ascii="Times New Roman" w:eastAsia="Georgia" w:hAnsi="Times New Roman" w:cs="Times New Roman"/>
          <w:b/>
          <w:bCs/>
          <w:sz w:val="28"/>
        </w:rPr>
        <w:t>Conclusion</w:t>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eastAsia="Georgia" w:hAnsi="Times New Roman" w:cs="Times New Roman"/>
          <w:sz w:val="24"/>
          <w:szCs w:val="24"/>
        </w:rPr>
        <w:t xml:space="preserve">In </w:t>
      </w:r>
      <w:r w:rsidRPr="00637ED9">
        <w:rPr>
          <w:rFonts w:ascii="Times New Roman" w:eastAsia="Georgia" w:hAnsi="Times New Roman" w:cs="Times New Roman"/>
          <w:i/>
          <w:sz w:val="24"/>
          <w:szCs w:val="24"/>
        </w:rPr>
        <w:t>End of History?</w:t>
      </w:r>
      <w:r w:rsidRPr="00637ED9">
        <w:rPr>
          <w:rFonts w:ascii="Times New Roman" w:eastAsia="Georgia" w:hAnsi="Times New Roman" w:cs="Times New Roman"/>
          <w:sz w:val="24"/>
          <w:szCs w:val="24"/>
        </w:rPr>
        <w:t xml:space="preserve">, and in </w:t>
      </w:r>
      <w:r w:rsidRPr="00637ED9">
        <w:rPr>
          <w:rFonts w:ascii="Times New Roman" w:eastAsia="Georgia" w:hAnsi="Times New Roman" w:cs="Times New Roman"/>
          <w:i/>
          <w:sz w:val="24"/>
          <w:szCs w:val="24"/>
        </w:rPr>
        <w:t>The End of History and the Last Man</w:t>
      </w:r>
      <w:r w:rsidRPr="00637ED9">
        <w:rPr>
          <w:rFonts w:ascii="Times New Roman" w:eastAsia="Georgia" w:hAnsi="Times New Roman" w:cs="Times New Roman"/>
          <w:sz w:val="24"/>
          <w:szCs w:val="24"/>
        </w:rPr>
        <w:t xml:space="preserve"> (1992), Francis Fukuyama made an assertion that the evolutionary process of human ideologies and institutions has come to a conceivable end with the triumph of economic and political liberalism. It is the end of the Cold War which has somewhat proven that alternatives of liberalism do not hold a chance in the world dynamics. This idea of Fukuyama or Fukuyama’s liberalism depends on his ideological background which was commonly developed under Alan Bloom who was a follower of Leo Strauss as Leo Strauss introduced Alan Bloom to Kojeve’ s thought, from where the idea of universal history made its access into Fukuyama’s writings. Also, Fukuyama adopted Hegel-Kojeve-Nietzsche-Kant-Plato-Marx in the same and his liberalism developed following all. It is interesting that Fukuyama has developed a system under which all philosophical systems can stand on their own terms and one system grows in the name of ‘Fukuyama’s liberalism’. Fukuyama can be leveled as Kantian, Platonic, Marxian but he is at heart a Hegelian. He </w:t>
      </w:r>
      <w:r w:rsidRPr="00637ED9">
        <w:rPr>
          <w:rFonts w:ascii="Times New Roman" w:eastAsia="Georgia" w:hAnsi="Times New Roman" w:cs="Times New Roman"/>
          <w:sz w:val="24"/>
          <w:szCs w:val="24"/>
        </w:rPr>
        <w:lastRenderedPageBreak/>
        <w:t xml:space="preserve">deconstructs the rigid boundaries that exist between different philosophical systems and creates a dialectically higher framework that cuts across their borders. And it has been developed without contradicting the internals. Fukuyama’s theoretical framework is intrinsically flexible and can be expanded and reinvented. Political and economic liberalism serve as the backbone of Fukuyama’s liberalism that gains momentum at the end of history with liberal democracy as he empirically shows that economic liberalism is the natural endpoint of science. According to Fukuyama, the definitive attributes of liberalism and democracy are the rule of law and popular sovereignty. </w:t>
      </w:r>
    </w:p>
    <w:p w:rsidR="00035D8D" w:rsidRPr="00637ED9" w:rsidRDefault="00B434B0" w:rsidP="00D96BF4">
      <w:pPr>
        <w:spacing w:after="240" w:line="480" w:lineRule="auto"/>
        <w:jc w:val="both"/>
        <w:rPr>
          <w:rFonts w:ascii="Times New Roman" w:eastAsia="Georgia" w:hAnsi="Times New Roman" w:cs="Times New Roman"/>
          <w:sz w:val="24"/>
          <w:szCs w:val="24"/>
        </w:rPr>
      </w:pPr>
      <w:r w:rsidRPr="00637ED9">
        <w:rPr>
          <w:rFonts w:ascii="Times New Roman" w:hAnsi="Times New Roman" w:cs="Times New Roman"/>
        </w:rPr>
        <w:br w:type="page"/>
      </w:r>
    </w:p>
    <w:p w:rsidR="00035D8D" w:rsidRPr="00097F6E" w:rsidRDefault="00B434B0" w:rsidP="008C2911">
      <w:pPr>
        <w:spacing w:after="240"/>
        <w:jc w:val="center"/>
        <w:rPr>
          <w:rFonts w:ascii="Times New Roman" w:eastAsia="Georgia" w:hAnsi="Times New Roman" w:cs="Times New Roman"/>
          <w:b/>
          <w:bCs/>
          <w:sz w:val="28"/>
          <w:szCs w:val="28"/>
        </w:rPr>
      </w:pPr>
      <w:r w:rsidRPr="00097F6E">
        <w:rPr>
          <w:rFonts w:ascii="Times New Roman" w:eastAsia="Georgia" w:hAnsi="Times New Roman" w:cs="Times New Roman"/>
          <w:b/>
          <w:bCs/>
          <w:sz w:val="28"/>
          <w:szCs w:val="28"/>
        </w:rPr>
        <w:lastRenderedPageBreak/>
        <w:t>Reference</w:t>
      </w:r>
      <w:r w:rsidR="00AB554D" w:rsidRPr="00097F6E">
        <w:rPr>
          <w:rFonts w:ascii="Times New Roman" w:eastAsia="Georgia" w:hAnsi="Times New Roman" w:cs="Times New Roman"/>
          <w:b/>
          <w:bCs/>
          <w:sz w:val="28"/>
          <w:szCs w:val="28"/>
        </w:rPr>
        <w:t>/ Bibliography</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 xml:space="preserve">Bell, D. (2014). What is liberalism?. </w:t>
      </w:r>
      <w:r w:rsidRPr="00097F6E">
        <w:rPr>
          <w:rFonts w:ascii="Times New Roman" w:hAnsi="Times New Roman" w:cs="Times New Roman"/>
          <w:i/>
          <w:sz w:val="24"/>
          <w:szCs w:val="24"/>
        </w:rPr>
        <w:t>Political Theory</w:t>
      </w:r>
      <w:r w:rsidRPr="00097F6E">
        <w:rPr>
          <w:rFonts w:ascii="Times New Roman" w:hAnsi="Times New Roman" w:cs="Times New Roman"/>
          <w:sz w:val="24"/>
          <w:szCs w:val="24"/>
        </w:rPr>
        <w:t>, 42(6), 682-715.</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eastAsia="Calibri" w:hAnsi="Times New Roman" w:cs="Times New Roman"/>
          <w:color w:val="222222"/>
          <w:sz w:val="24"/>
          <w:szCs w:val="24"/>
          <w:shd w:val="clear" w:color="auto" w:fill="FFFFFF"/>
          <w:lang w:bidi="ar-SA"/>
        </w:rPr>
        <w:t>Fowler, S. (1995). </w:t>
      </w:r>
      <w:r w:rsidRPr="00097F6E">
        <w:rPr>
          <w:rFonts w:ascii="Times New Roman" w:eastAsia="Calibri" w:hAnsi="Times New Roman" w:cs="Times New Roman"/>
          <w:i/>
          <w:iCs/>
          <w:color w:val="222222"/>
          <w:sz w:val="24"/>
          <w:szCs w:val="24"/>
          <w:shd w:val="clear" w:color="auto" w:fill="FFFFFF"/>
          <w:lang w:bidi="ar-SA"/>
        </w:rPr>
        <w:t>The oppression and liberation of modern Africa: Examining the powers shaping today's Africa</w:t>
      </w:r>
      <w:r w:rsidRPr="00097F6E">
        <w:rPr>
          <w:rFonts w:ascii="Times New Roman" w:eastAsia="Calibri" w:hAnsi="Times New Roman" w:cs="Times New Roman"/>
          <w:color w:val="222222"/>
          <w:sz w:val="24"/>
          <w:szCs w:val="24"/>
          <w:shd w:val="clear" w:color="auto" w:fill="FFFFFF"/>
          <w:lang w:bidi="ar-SA"/>
        </w:rPr>
        <w:t> (Vol. 63). Potchefstroomse Universiteit virChristelikeHoërOnderwys.</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eastAsia="Times New Roman" w:hAnsi="Times New Roman" w:cs="Times New Roman"/>
          <w:sz w:val="24"/>
          <w:szCs w:val="24"/>
        </w:rPr>
        <w:t>Francis Fukuyama, “Asian Values, Korean Values, and Democratic Consolidation,” in Institutional Reform and Democratic Consolidation in Korea, ed. Larry Jay Diamond and Doh Chull Shin (Stanford, Calif: Hoover Institution Press, Stanford University, 2000), 311; Fukuyama, “The Illusion of Asian Exceptionalism,” 226.</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eastAsia="Times New Roman" w:hAnsi="Times New Roman" w:cs="Times New Roman"/>
          <w:sz w:val="24"/>
          <w:szCs w:val="24"/>
        </w:rPr>
        <w:t>Francis Fukuyama, “History and September 11,” in Worlds in Collision: Terror and the Future of Global Order, ed. Ken Booth and Timothy Dunne (New York: Palgrave Macmillan, 2002), 31</w:t>
      </w:r>
    </w:p>
    <w:p w:rsidR="00097F6E" w:rsidRPr="00097F6E" w:rsidRDefault="00097F6E" w:rsidP="008C2911">
      <w:pPr>
        <w:numPr>
          <w:ilvl w:val="0"/>
          <w:numId w:val="2"/>
        </w:numPr>
        <w:spacing w:after="160"/>
        <w:contextualSpacing/>
        <w:jc w:val="both"/>
        <w:rPr>
          <w:rFonts w:ascii="Times New Roman" w:eastAsia="Calibri" w:hAnsi="Times New Roman" w:cs="Times New Roman"/>
          <w:sz w:val="24"/>
          <w:szCs w:val="24"/>
          <w:lang w:bidi="ar-SA"/>
        </w:rPr>
      </w:pPr>
      <w:r w:rsidRPr="00097F6E">
        <w:rPr>
          <w:rFonts w:ascii="Times New Roman" w:eastAsia="Calibri" w:hAnsi="Times New Roman" w:cs="Times New Roman"/>
          <w:sz w:val="24"/>
          <w:szCs w:val="24"/>
          <w:lang w:bidi="ar-SA"/>
        </w:rPr>
        <w:t xml:space="preserve">Francis Fukuyama, “On the Possibility of Writing a Universal History,” in </w:t>
      </w:r>
      <w:r w:rsidRPr="00097F6E">
        <w:rPr>
          <w:rFonts w:ascii="Times New Roman" w:eastAsia="Calibri" w:hAnsi="Times New Roman" w:cs="Times New Roman"/>
          <w:i/>
          <w:iCs/>
          <w:sz w:val="24"/>
          <w:szCs w:val="24"/>
          <w:lang w:bidi="ar-SA"/>
        </w:rPr>
        <w:t>History and the Idea of Progress</w:t>
      </w:r>
      <w:r w:rsidRPr="00097F6E">
        <w:rPr>
          <w:rFonts w:ascii="Times New Roman" w:eastAsia="Calibri" w:hAnsi="Times New Roman" w:cs="Times New Roman"/>
          <w:sz w:val="24"/>
          <w:szCs w:val="24"/>
          <w:lang w:bidi="ar-SA"/>
        </w:rPr>
        <w:t>, ed. Arthur M Melzer, Jerry Weinberger, and M. Richard Zinman (Ithaca: Cornell University Press, 1995), 16. Also noted in Yang (2010).</w:t>
      </w:r>
    </w:p>
    <w:p w:rsidR="00097F6E" w:rsidRPr="00097F6E" w:rsidRDefault="00097F6E" w:rsidP="008C2911">
      <w:pPr>
        <w:numPr>
          <w:ilvl w:val="0"/>
          <w:numId w:val="2"/>
        </w:numPr>
        <w:spacing w:after="160"/>
        <w:contextualSpacing/>
        <w:rPr>
          <w:rFonts w:ascii="Times New Roman" w:eastAsia="Calibri" w:hAnsi="Times New Roman" w:cs="Vrinda"/>
          <w:sz w:val="24"/>
          <w:szCs w:val="24"/>
          <w:lang w:bidi="ar-SA"/>
        </w:rPr>
      </w:pPr>
      <w:r w:rsidRPr="00097F6E">
        <w:rPr>
          <w:rFonts w:ascii="Times New Roman" w:eastAsia="Calibri" w:hAnsi="Times New Roman" w:cs="Times New Roman"/>
          <w:sz w:val="24"/>
          <w:szCs w:val="24"/>
          <w:lang w:bidi="ar-SA"/>
        </w:rPr>
        <w:t xml:space="preserve">Francis Fukuyama, “The End of History?,” </w:t>
      </w:r>
      <w:r w:rsidRPr="00097F6E">
        <w:rPr>
          <w:rFonts w:ascii="Times New Roman" w:eastAsia="Calibri" w:hAnsi="Times New Roman" w:cs="Times New Roman"/>
          <w:i/>
          <w:iCs/>
          <w:sz w:val="24"/>
          <w:szCs w:val="24"/>
          <w:lang w:bidi="ar-SA"/>
        </w:rPr>
        <w:t>The National Interest</w:t>
      </w:r>
      <w:r w:rsidRPr="00097F6E">
        <w:rPr>
          <w:rFonts w:ascii="Times New Roman" w:eastAsia="Calibri" w:hAnsi="Times New Roman" w:cs="Times New Roman"/>
          <w:sz w:val="24"/>
          <w:szCs w:val="24"/>
          <w:lang w:bidi="ar-SA"/>
        </w:rPr>
        <w:t xml:space="preserve"> (Summer 1989): 5; also quoted in Williams, Sullivan, and Matthews, </w:t>
      </w:r>
      <w:r w:rsidRPr="00097F6E">
        <w:rPr>
          <w:rFonts w:ascii="Times New Roman" w:eastAsia="Calibri" w:hAnsi="Times New Roman" w:cs="Times New Roman"/>
          <w:i/>
          <w:iCs/>
          <w:sz w:val="24"/>
          <w:szCs w:val="24"/>
          <w:lang w:bidi="ar-SA"/>
        </w:rPr>
        <w:t>Francis Fukuyama and the End of History</w:t>
      </w:r>
      <w:r w:rsidRPr="00097F6E">
        <w:rPr>
          <w:rFonts w:ascii="Times New Roman" w:eastAsia="Calibri" w:hAnsi="Times New Roman" w:cs="Times New Roman"/>
          <w:sz w:val="24"/>
          <w:szCs w:val="24"/>
          <w:lang w:bidi="ar-SA"/>
        </w:rPr>
        <w:t>, 77-8.</w:t>
      </w:r>
    </w:p>
    <w:p w:rsidR="00097F6E" w:rsidRPr="00097F6E" w:rsidRDefault="00097F6E" w:rsidP="008C2911">
      <w:pPr>
        <w:numPr>
          <w:ilvl w:val="0"/>
          <w:numId w:val="2"/>
        </w:numPr>
        <w:spacing w:after="160"/>
        <w:contextualSpacing/>
        <w:rPr>
          <w:rFonts w:ascii="Times New Roman" w:eastAsia="Calibri" w:hAnsi="Times New Roman" w:cs="Vrinda"/>
          <w:sz w:val="24"/>
          <w:szCs w:val="24"/>
        </w:rPr>
      </w:pPr>
      <w:r w:rsidRPr="00097F6E">
        <w:rPr>
          <w:rFonts w:ascii="Times New Roman" w:hAnsi="Times New Roman" w:cs="Times New Roman"/>
          <w:sz w:val="24"/>
          <w:szCs w:val="24"/>
        </w:rPr>
        <w:t>Francis Fukuyama, “The End of History--20 Years Later,”  interview by Nathan Gardels, October 31, 2009,http://www.huffingtonpost.com/nathan-gardels/the-end-of-history----20_b_341078.html</w:t>
      </w:r>
    </w:p>
    <w:p w:rsidR="00097F6E" w:rsidRPr="00097F6E" w:rsidRDefault="00097F6E" w:rsidP="008C2911">
      <w:pPr>
        <w:numPr>
          <w:ilvl w:val="0"/>
          <w:numId w:val="2"/>
        </w:numPr>
        <w:spacing w:after="160"/>
        <w:contextualSpacing/>
        <w:rPr>
          <w:rFonts w:ascii="Times New Roman" w:eastAsia="Calibri" w:hAnsi="Times New Roman" w:cs="Times New Roman"/>
          <w:sz w:val="24"/>
          <w:szCs w:val="24"/>
          <w:lang w:bidi="ar-SA"/>
        </w:rPr>
      </w:pPr>
      <w:r w:rsidRPr="00097F6E">
        <w:rPr>
          <w:rFonts w:ascii="Times New Roman" w:eastAsia="Calibri" w:hAnsi="Times New Roman" w:cs="Times New Roman"/>
          <w:sz w:val="24"/>
          <w:szCs w:val="24"/>
          <w:lang w:bidi="ar-SA"/>
        </w:rPr>
        <w:t>Francis Fukuyama, “The Illusion of Asian Exceptionalism,” in Democracy in East Asia, ed. Larry Jay Diamond and Marc F Plattner (Baltimore: Johns Hopkins University Press, 1998), 225.</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eastAsia="Calibri" w:hAnsi="Times New Roman" w:cs="Times New Roman"/>
          <w:sz w:val="24"/>
          <w:szCs w:val="24"/>
          <w:lang w:bidi="ar-SA"/>
        </w:rPr>
        <w:t xml:space="preserve">Francis Fukuyama, </w:t>
      </w:r>
      <w:r w:rsidRPr="00097F6E">
        <w:rPr>
          <w:rFonts w:ascii="Times New Roman" w:eastAsia="Calibri" w:hAnsi="Times New Roman" w:cs="Times New Roman"/>
          <w:i/>
          <w:iCs/>
          <w:sz w:val="24"/>
          <w:szCs w:val="24"/>
          <w:lang w:bidi="ar-SA"/>
        </w:rPr>
        <w:t>The End of History and the Last Man.</w:t>
      </w:r>
      <w:r w:rsidRPr="00097F6E">
        <w:rPr>
          <w:rFonts w:ascii="Times New Roman" w:eastAsia="Calibri" w:hAnsi="Times New Roman" w:cs="Times New Roman"/>
          <w:sz w:val="24"/>
          <w:szCs w:val="24"/>
          <w:lang w:bidi="ar-SA"/>
        </w:rPr>
        <w:t xml:space="preserve"> New York, The Free Press, 1992: ix.; also in Dabashi, H. (2001). For the last time: Civilizations. </w:t>
      </w:r>
      <w:r w:rsidRPr="00097F6E">
        <w:rPr>
          <w:rFonts w:ascii="Times New Roman" w:eastAsia="Calibri" w:hAnsi="Times New Roman" w:cs="Times New Roman"/>
          <w:i/>
          <w:iCs/>
          <w:sz w:val="24"/>
          <w:szCs w:val="24"/>
          <w:lang w:bidi="ar-SA"/>
        </w:rPr>
        <w:t>International sociology</w:t>
      </w:r>
      <w:r w:rsidRPr="00097F6E">
        <w:rPr>
          <w:rFonts w:ascii="Times New Roman" w:eastAsia="Calibri" w:hAnsi="Times New Roman" w:cs="Times New Roman"/>
          <w:sz w:val="24"/>
          <w:szCs w:val="24"/>
          <w:lang w:bidi="ar-SA"/>
        </w:rPr>
        <w:t xml:space="preserve">, </w:t>
      </w:r>
      <w:r w:rsidRPr="00097F6E">
        <w:rPr>
          <w:rFonts w:ascii="Times New Roman" w:eastAsia="Calibri" w:hAnsi="Times New Roman" w:cs="Times New Roman"/>
          <w:i/>
          <w:iCs/>
          <w:sz w:val="24"/>
          <w:szCs w:val="24"/>
          <w:lang w:bidi="ar-SA"/>
        </w:rPr>
        <w:t>16</w:t>
      </w:r>
      <w:r w:rsidRPr="00097F6E">
        <w:rPr>
          <w:rFonts w:ascii="Times New Roman" w:eastAsia="Calibri" w:hAnsi="Times New Roman" w:cs="Times New Roman"/>
          <w:sz w:val="24"/>
          <w:szCs w:val="24"/>
          <w:lang w:bidi="ar-SA"/>
        </w:rPr>
        <w:t>(3), 361-368.</w:t>
      </w:r>
    </w:p>
    <w:p w:rsidR="00097F6E" w:rsidRPr="00097F6E" w:rsidRDefault="00097F6E" w:rsidP="008C2911">
      <w:pPr>
        <w:numPr>
          <w:ilvl w:val="0"/>
          <w:numId w:val="2"/>
        </w:numPr>
        <w:spacing w:after="160"/>
        <w:contextualSpacing/>
        <w:rPr>
          <w:rFonts w:ascii="Times New Roman" w:eastAsia="Times New Roman" w:hAnsi="Times New Roman" w:cs="Times New Roman"/>
          <w:sz w:val="24"/>
          <w:szCs w:val="24"/>
        </w:rPr>
      </w:pPr>
      <w:r w:rsidRPr="00097F6E">
        <w:rPr>
          <w:rFonts w:ascii="Times New Roman" w:eastAsia="Times New Roman" w:hAnsi="Times New Roman" w:cs="Times New Roman"/>
          <w:sz w:val="24"/>
          <w:szCs w:val="24"/>
        </w:rPr>
        <w:t>Fukuyama, “History and September 11,” 33.</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Fukuyama, “On the Possibility of Writing a Universal History,” p.24.</w:t>
      </w:r>
    </w:p>
    <w:p w:rsidR="00097F6E" w:rsidRPr="00097F6E" w:rsidRDefault="00097F6E" w:rsidP="008C2911">
      <w:pPr>
        <w:numPr>
          <w:ilvl w:val="0"/>
          <w:numId w:val="2"/>
        </w:numPr>
        <w:spacing w:after="160"/>
        <w:contextualSpacing/>
        <w:rPr>
          <w:rFonts w:ascii="Times New Roman" w:eastAsia="Times New Roman" w:hAnsi="Times New Roman" w:cs="Times New Roman"/>
          <w:sz w:val="24"/>
          <w:szCs w:val="24"/>
        </w:rPr>
      </w:pPr>
      <w:r w:rsidRPr="00097F6E">
        <w:rPr>
          <w:rFonts w:ascii="Times New Roman" w:eastAsia="Times New Roman" w:hAnsi="Times New Roman" w:cs="Times New Roman"/>
          <w:sz w:val="24"/>
          <w:szCs w:val="24"/>
        </w:rPr>
        <w:t>Fukuyama, “Reflections on the End of History, Five Years On,” 204.</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Fukuyama, “Social Capital, Civil Society and Development,” 8.</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 xml:space="preserve">Fukuyama, F. (1989). The end of history?. </w:t>
      </w:r>
      <w:r w:rsidRPr="00097F6E">
        <w:rPr>
          <w:rFonts w:ascii="Times New Roman" w:hAnsi="Times New Roman" w:cs="Times New Roman"/>
          <w:i/>
          <w:sz w:val="24"/>
          <w:szCs w:val="24"/>
        </w:rPr>
        <w:t>The national interest</w:t>
      </w:r>
      <w:r w:rsidRPr="00097F6E">
        <w:rPr>
          <w:rFonts w:ascii="Times New Roman" w:hAnsi="Times New Roman" w:cs="Times New Roman"/>
          <w:sz w:val="24"/>
          <w:szCs w:val="24"/>
        </w:rPr>
        <w:t>, (16), 3-18.</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Fukuyama, F. (1992). The End of History and the Last Man (Hamilton, London).</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eastAsia="Times New Roman" w:hAnsi="Times New Roman" w:cs="Times New Roman"/>
          <w:sz w:val="24"/>
          <w:szCs w:val="24"/>
        </w:rPr>
        <w:t xml:space="preserve">Fukuyama, </w:t>
      </w:r>
      <w:r w:rsidRPr="00097F6E">
        <w:rPr>
          <w:rFonts w:ascii="Times New Roman" w:eastAsia="Times New Roman" w:hAnsi="Times New Roman" w:cs="Times New Roman"/>
          <w:i/>
          <w:sz w:val="24"/>
          <w:szCs w:val="24"/>
        </w:rPr>
        <w:t>The End of History and the Last Man</w:t>
      </w:r>
      <w:r w:rsidRPr="00097F6E">
        <w:rPr>
          <w:rFonts w:ascii="Times New Roman" w:eastAsia="Times New Roman" w:hAnsi="Times New Roman" w:cs="Times New Roman"/>
          <w:sz w:val="24"/>
          <w:szCs w:val="24"/>
        </w:rPr>
        <w:t>, p.46.</w:t>
      </w:r>
    </w:p>
    <w:p w:rsidR="00097F6E" w:rsidRPr="00097F6E" w:rsidRDefault="00097F6E" w:rsidP="008C2911">
      <w:pPr>
        <w:numPr>
          <w:ilvl w:val="0"/>
          <w:numId w:val="2"/>
        </w:numPr>
        <w:spacing w:after="160"/>
        <w:contextualSpacing/>
        <w:jc w:val="both"/>
        <w:rPr>
          <w:rFonts w:ascii="Times New Roman" w:eastAsia="Calibri" w:hAnsi="Times New Roman" w:cs="Times New Roman"/>
          <w:iCs/>
          <w:sz w:val="24"/>
          <w:szCs w:val="24"/>
          <w:lang w:bidi="ar-SA"/>
        </w:rPr>
      </w:pPr>
      <w:r w:rsidRPr="00097F6E">
        <w:rPr>
          <w:rFonts w:ascii="Times New Roman" w:eastAsia="Calibri" w:hAnsi="Times New Roman" w:cs="Times New Roman"/>
          <w:iCs/>
          <w:sz w:val="24"/>
          <w:szCs w:val="24"/>
          <w:lang w:bidi="ar-SA"/>
        </w:rPr>
        <w:t xml:space="preserve">Gearóid Ó Tuathail, “Samuel Huntington and the ‘Civilizing’ of Global Space,” in The Geopolitics Reader, ed. Gearóid Ó Tuathail, Simon Dalby, and Paul Routledge (London: Routledge, 1998), 172.  </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Herwitz, D. (2000). Francis Fukuyama and the end of history. </w:t>
      </w:r>
      <w:r w:rsidRPr="00097F6E">
        <w:rPr>
          <w:rFonts w:ascii="Times New Roman" w:hAnsi="Times New Roman" w:cs="Times New Roman"/>
          <w:i/>
          <w:iCs/>
          <w:sz w:val="24"/>
          <w:szCs w:val="24"/>
        </w:rPr>
        <w:t>South African journal of philosophy</w:t>
      </w:r>
      <w:r w:rsidRPr="00097F6E">
        <w:rPr>
          <w:rFonts w:ascii="Times New Roman" w:hAnsi="Times New Roman" w:cs="Times New Roman"/>
          <w:sz w:val="24"/>
          <w:szCs w:val="24"/>
        </w:rPr>
        <w:t>, </w:t>
      </w:r>
      <w:r w:rsidRPr="00097F6E">
        <w:rPr>
          <w:rFonts w:ascii="Times New Roman" w:hAnsi="Times New Roman" w:cs="Times New Roman"/>
          <w:i/>
          <w:iCs/>
          <w:sz w:val="24"/>
          <w:szCs w:val="24"/>
        </w:rPr>
        <w:t>19</w:t>
      </w:r>
      <w:r w:rsidRPr="00097F6E">
        <w:rPr>
          <w:rFonts w:ascii="Times New Roman" w:hAnsi="Times New Roman" w:cs="Times New Roman"/>
          <w:sz w:val="24"/>
          <w:szCs w:val="24"/>
        </w:rPr>
        <w:t>(3), 222-234.</w:t>
      </w:r>
    </w:p>
    <w:p w:rsidR="00097F6E" w:rsidRPr="00097F6E" w:rsidRDefault="00097F6E" w:rsidP="008C2911">
      <w:pPr>
        <w:numPr>
          <w:ilvl w:val="0"/>
          <w:numId w:val="2"/>
        </w:numPr>
        <w:spacing w:after="160"/>
        <w:contextualSpacing/>
        <w:jc w:val="both"/>
        <w:rPr>
          <w:rFonts w:ascii="Times New Roman" w:eastAsia="Calibri" w:hAnsi="Times New Roman" w:cs="Vrinda"/>
          <w:sz w:val="24"/>
          <w:szCs w:val="24"/>
          <w:lang w:bidi="ar-SA"/>
        </w:rPr>
      </w:pPr>
      <w:r w:rsidRPr="00097F6E">
        <w:rPr>
          <w:rFonts w:ascii="Times New Roman" w:hAnsi="Times New Roman" w:cs="Times New Roman"/>
          <w:sz w:val="24"/>
          <w:szCs w:val="24"/>
        </w:rPr>
        <w:lastRenderedPageBreak/>
        <w:t>HILL, D. 1999. World: Voices of the Millenium - Fall of Communism Marked the End of History. Retrieved 31 March 2021, from  http://www.rferl.org/nca/features/1999/07/F.RU.9907271307278.html</w:t>
      </w:r>
    </w:p>
    <w:p w:rsidR="00097F6E" w:rsidRPr="00097F6E" w:rsidRDefault="00097F6E" w:rsidP="008C2911">
      <w:pPr>
        <w:numPr>
          <w:ilvl w:val="0"/>
          <w:numId w:val="2"/>
        </w:numPr>
        <w:spacing w:after="160"/>
        <w:contextualSpacing/>
        <w:rPr>
          <w:rFonts w:ascii="Times New Roman" w:eastAsia="Times New Roman" w:hAnsi="Times New Roman" w:cs="Times New Roman"/>
          <w:sz w:val="24"/>
          <w:szCs w:val="24"/>
        </w:rPr>
      </w:pPr>
      <w:r w:rsidRPr="00097F6E">
        <w:rPr>
          <w:rFonts w:ascii="Times New Roman" w:eastAsia="Times New Roman" w:hAnsi="Times New Roman" w:cs="Times New Roman"/>
          <w:sz w:val="24"/>
          <w:szCs w:val="24"/>
        </w:rPr>
        <w:t>Huntington, “Religion, Culture, and International Conflict After September 11: A Conversation with Samuel P. Huntington,” 11, 12.</w:t>
      </w:r>
    </w:p>
    <w:p w:rsidR="00097F6E" w:rsidRPr="00097F6E" w:rsidRDefault="00097F6E" w:rsidP="008C2911">
      <w:pPr>
        <w:numPr>
          <w:ilvl w:val="0"/>
          <w:numId w:val="2"/>
        </w:numPr>
        <w:spacing w:after="160"/>
        <w:contextualSpacing/>
        <w:rPr>
          <w:rFonts w:ascii="Times New Roman" w:eastAsia="Times New Roman" w:hAnsi="Times New Roman" w:cs="Times New Roman"/>
          <w:sz w:val="24"/>
          <w:szCs w:val="24"/>
        </w:rPr>
      </w:pPr>
      <w:r w:rsidRPr="00097F6E">
        <w:rPr>
          <w:rFonts w:ascii="Times New Roman" w:eastAsia="Times New Roman" w:hAnsi="Times New Roman" w:cs="Times New Roman"/>
          <w:sz w:val="24"/>
          <w:szCs w:val="24"/>
        </w:rPr>
        <w:t xml:space="preserve">Huntington, S. (1989). No Exit: The Errors of Endism. </w:t>
      </w:r>
      <w:r w:rsidRPr="00097F6E">
        <w:rPr>
          <w:rFonts w:ascii="Times New Roman" w:eastAsia="Times New Roman" w:hAnsi="Times New Roman" w:cs="Times New Roman"/>
          <w:i/>
          <w:sz w:val="24"/>
          <w:szCs w:val="24"/>
        </w:rPr>
        <w:t>The National Interest,</w:t>
      </w:r>
      <w:r w:rsidRPr="00097F6E">
        <w:rPr>
          <w:rFonts w:ascii="Times New Roman" w:eastAsia="Times New Roman" w:hAnsi="Times New Roman" w:cs="Times New Roman"/>
          <w:sz w:val="24"/>
          <w:szCs w:val="24"/>
        </w:rPr>
        <w:t xml:space="preserve"> (17), 3-11. Retrieved from </w:t>
      </w:r>
      <w:hyperlink r:id="rId9" w:history="1">
        <w:r w:rsidRPr="00097F6E">
          <w:rPr>
            <w:rFonts w:ascii="Times New Roman" w:eastAsia="Times New Roman" w:hAnsi="Times New Roman" w:cs="Times New Roman"/>
            <w:color w:val="0563C1"/>
            <w:sz w:val="24"/>
            <w:szCs w:val="24"/>
            <w:u w:val="single"/>
          </w:rPr>
          <w:t>www.jstor.org/stable/42896752</w:t>
        </w:r>
      </w:hyperlink>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eastAsia="Calibri" w:hAnsi="Times New Roman" w:cs="Times New Roman"/>
          <w:sz w:val="24"/>
          <w:szCs w:val="24"/>
          <w:lang w:bidi="ar-SA"/>
        </w:rPr>
        <w:t>Huntington, The Clash of Civilizations and the Remaking of World Order, 117</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 xml:space="preserve">Jeremy Waldron, “Theoretical Foundations of Liberalism,” </w:t>
      </w:r>
      <w:r w:rsidRPr="00097F6E">
        <w:rPr>
          <w:rFonts w:ascii="Times New Roman" w:hAnsi="Times New Roman" w:cs="Times New Roman"/>
          <w:i/>
          <w:sz w:val="24"/>
          <w:szCs w:val="24"/>
        </w:rPr>
        <w:t xml:space="preserve">Philosophical Quarterly </w:t>
      </w:r>
      <w:r w:rsidRPr="00097F6E">
        <w:rPr>
          <w:rFonts w:ascii="Times New Roman" w:hAnsi="Times New Roman" w:cs="Times New Roman"/>
          <w:sz w:val="24"/>
          <w:szCs w:val="24"/>
        </w:rPr>
        <w:t>37 (1987): 131, 127, 140</w:t>
      </w:r>
    </w:p>
    <w:p w:rsidR="00097F6E" w:rsidRPr="00097F6E" w:rsidRDefault="00097F6E" w:rsidP="008C2911">
      <w:pPr>
        <w:numPr>
          <w:ilvl w:val="0"/>
          <w:numId w:val="2"/>
        </w:numPr>
        <w:spacing w:after="160"/>
        <w:contextualSpacing/>
        <w:jc w:val="both"/>
        <w:rPr>
          <w:rFonts w:ascii="Times New Roman" w:hAnsi="Times New Roman" w:cs="Times New Roman"/>
          <w:sz w:val="24"/>
          <w:szCs w:val="24"/>
        </w:rPr>
      </w:pPr>
      <w:r w:rsidRPr="00097F6E">
        <w:rPr>
          <w:rFonts w:ascii="Times New Roman" w:hAnsi="Times New Roman" w:cs="Times New Roman"/>
          <w:sz w:val="24"/>
          <w:szCs w:val="24"/>
        </w:rPr>
        <w:t>Kanazawa, Satoshi (2010). "Why Liberals and Atheists Are More Intelligent" (PDF). </w:t>
      </w:r>
    </w:p>
    <w:p w:rsidR="00097F6E" w:rsidRPr="00097F6E" w:rsidRDefault="00097F6E" w:rsidP="008C2911">
      <w:pPr>
        <w:numPr>
          <w:ilvl w:val="0"/>
          <w:numId w:val="2"/>
        </w:numPr>
        <w:spacing w:after="160"/>
        <w:contextualSpacing/>
        <w:rPr>
          <w:rFonts w:ascii="Times New Roman" w:hAnsi="Times New Roman" w:cs="Times New Roman"/>
          <w:color w:val="222222"/>
          <w:sz w:val="24"/>
          <w:szCs w:val="24"/>
        </w:rPr>
      </w:pPr>
      <w:r w:rsidRPr="00097F6E">
        <w:rPr>
          <w:rFonts w:ascii="Times New Roman" w:hAnsi="Times New Roman" w:cs="Times New Roman"/>
          <w:color w:val="222222"/>
          <w:sz w:val="24"/>
          <w:szCs w:val="24"/>
          <w:highlight w:val="white"/>
        </w:rPr>
        <w:t xml:space="preserve">Kimball, R. (1992). Francis Fukuyama &amp; the end of history. </w:t>
      </w:r>
      <w:r w:rsidRPr="00097F6E">
        <w:rPr>
          <w:rFonts w:ascii="Times New Roman" w:hAnsi="Times New Roman" w:cs="Times New Roman"/>
          <w:i/>
          <w:color w:val="222222"/>
          <w:sz w:val="24"/>
          <w:szCs w:val="24"/>
          <w:highlight w:val="white"/>
        </w:rPr>
        <w:t>The New Criterion</w:t>
      </w:r>
      <w:r w:rsidRPr="00097F6E">
        <w:rPr>
          <w:rFonts w:ascii="Times New Roman" w:hAnsi="Times New Roman" w:cs="Times New Roman"/>
          <w:color w:val="222222"/>
          <w:sz w:val="24"/>
          <w:szCs w:val="24"/>
          <w:highlight w:val="white"/>
        </w:rPr>
        <w:t xml:space="preserve">, </w:t>
      </w:r>
      <w:r w:rsidRPr="00097F6E">
        <w:rPr>
          <w:rFonts w:ascii="Times New Roman" w:hAnsi="Times New Roman" w:cs="Times New Roman"/>
          <w:i/>
          <w:color w:val="222222"/>
          <w:sz w:val="24"/>
          <w:szCs w:val="24"/>
          <w:highlight w:val="white"/>
        </w:rPr>
        <w:t>10</w:t>
      </w:r>
      <w:r w:rsidRPr="00097F6E">
        <w:rPr>
          <w:rFonts w:ascii="Times New Roman" w:hAnsi="Times New Roman" w:cs="Times New Roman"/>
          <w:color w:val="222222"/>
          <w:sz w:val="24"/>
          <w:szCs w:val="24"/>
          <w:highlight w:val="white"/>
        </w:rPr>
        <w:t>(6), 1-10.</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Klein, D. (2014). The Origin of 'Liberalism'. Retrieved 31 March 2021, from https://www.theatlantic.com/politics/archive/2014/02/the-origin-of-liberalism/283780/</w:t>
      </w:r>
    </w:p>
    <w:p w:rsidR="00097F6E" w:rsidRPr="00097F6E" w:rsidRDefault="00097F6E" w:rsidP="008C2911">
      <w:pPr>
        <w:numPr>
          <w:ilvl w:val="0"/>
          <w:numId w:val="2"/>
        </w:numPr>
        <w:spacing w:after="160"/>
        <w:contextualSpacing/>
        <w:jc w:val="both"/>
        <w:rPr>
          <w:rFonts w:ascii="Times New Roman" w:eastAsia="Times New Roman" w:hAnsi="Times New Roman" w:cs="Times New Roman"/>
          <w:color w:val="000000"/>
          <w:sz w:val="24"/>
          <w:szCs w:val="24"/>
          <w:lang w:bidi="ar-SA"/>
        </w:rPr>
      </w:pPr>
      <w:r w:rsidRPr="00097F6E">
        <w:rPr>
          <w:rFonts w:ascii="Times New Roman" w:eastAsia="Times New Roman" w:hAnsi="Times New Roman" w:cs="Times New Roman"/>
          <w:color w:val="000000"/>
          <w:sz w:val="24"/>
          <w:szCs w:val="24"/>
          <w:lang w:bidi="ar-SA"/>
        </w:rPr>
        <w:t>Klein, D. B. (2014, February 13). None. Retrieved May 22, 2019, from The Atlantic website: https://www.theatlantic.com/politics/archive/2014/02/the-origin-of-liberalism/283780/</w:t>
      </w:r>
    </w:p>
    <w:p w:rsidR="00097F6E" w:rsidRPr="00097F6E" w:rsidRDefault="00097F6E" w:rsidP="008C2911">
      <w:pPr>
        <w:numPr>
          <w:ilvl w:val="0"/>
          <w:numId w:val="2"/>
        </w:numPr>
        <w:spacing w:after="160"/>
        <w:contextualSpacing/>
        <w:rPr>
          <w:rFonts w:ascii="Times New Roman" w:hAnsi="Times New Roman" w:cs="Times New Roman"/>
          <w:color w:val="1155CC"/>
          <w:sz w:val="24"/>
          <w:szCs w:val="24"/>
          <w:u w:val="single"/>
        </w:rPr>
      </w:pPr>
      <w:r w:rsidRPr="00097F6E">
        <w:rPr>
          <w:rFonts w:ascii="Times New Roman" w:hAnsi="Times New Roman" w:cs="Times New Roman"/>
          <w:sz w:val="24"/>
          <w:szCs w:val="24"/>
        </w:rPr>
        <w:t xml:space="preserve">Liberalism - By Branch / Doctrine - The Basics of Philosophy. (2021). Retrieved 31 March 2021, from </w:t>
      </w:r>
      <w:r w:rsidRPr="00097F6E">
        <w:rPr>
          <w:rFonts w:ascii="Times New Roman" w:hAnsi="Times New Roman" w:cs="Times New Roman"/>
          <w:color w:val="1155CC"/>
          <w:sz w:val="24"/>
          <w:szCs w:val="24"/>
          <w:u w:val="single"/>
        </w:rPr>
        <w:t>https://www.philosophybasics.com/branch_liberalism.html</w:t>
      </w:r>
    </w:p>
    <w:p w:rsidR="00097F6E" w:rsidRPr="00097F6E" w:rsidRDefault="00097F6E" w:rsidP="008C2911">
      <w:pPr>
        <w:numPr>
          <w:ilvl w:val="0"/>
          <w:numId w:val="2"/>
        </w:numPr>
        <w:spacing w:after="160"/>
        <w:contextualSpacing/>
        <w:jc w:val="both"/>
        <w:rPr>
          <w:rFonts w:ascii="Times New Roman" w:eastAsia="Calibri" w:hAnsi="Times New Roman" w:cs="Times New Roman"/>
          <w:sz w:val="24"/>
          <w:szCs w:val="24"/>
          <w:lang w:bidi="ar-SA"/>
        </w:rPr>
      </w:pPr>
      <w:r w:rsidRPr="00097F6E">
        <w:rPr>
          <w:rFonts w:ascii="Times New Roman" w:eastAsia="Calibri" w:hAnsi="Times New Roman" w:cs="Times New Roman"/>
          <w:i/>
          <w:iCs/>
          <w:sz w:val="24"/>
          <w:szCs w:val="24"/>
          <w:lang w:bidi="ar-SA"/>
        </w:rPr>
        <w:t>Liberalism - By Branch / Doctrine - The Basics of Philosophy</w:t>
      </w:r>
      <w:r w:rsidRPr="00097F6E">
        <w:rPr>
          <w:rFonts w:ascii="Times New Roman" w:eastAsia="Calibri" w:hAnsi="Times New Roman" w:cs="Times New Roman"/>
          <w:sz w:val="24"/>
          <w:szCs w:val="24"/>
          <w:lang w:bidi="ar-SA"/>
        </w:rPr>
        <w:t>. (2019). </w:t>
      </w:r>
      <w:r w:rsidRPr="00097F6E">
        <w:rPr>
          <w:rFonts w:ascii="Times New Roman" w:eastAsia="Calibri" w:hAnsi="Times New Roman" w:cs="Times New Roman"/>
          <w:i/>
          <w:iCs/>
          <w:sz w:val="24"/>
          <w:szCs w:val="24"/>
          <w:lang w:bidi="ar-SA"/>
        </w:rPr>
        <w:t>Philosophybasics.com</w:t>
      </w:r>
      <w:r w:rsidRPr="00097F6E">
        <w:rPr>
          <w:rFonts w:ascii="Times New Roman" w:eastAsia="Calibri" w:hAnsi="Times New Roman" w:cs="Times New Roman"/>
          <w:sz w:val="24"/>
          <w:szCs w:val="24"/>
          <w:lang w:bidi="ar-SA"/>
        </w:rPr>
        <w:t>. Retrieved 18 May 2019, from https://www.philosophybasics.com/branch_liberalism.html</w:t>
      </w:r>
    </w:p>
    <w:p w:rsidR="00097F6E" w:rsidRPr="00097F6E" w:rsidRDefault="00097F6E" w:rsidP="008C2911">
      <w:pPr>
        <w:numPr>
          <w:ilvl w:val="0"/>
          <w:numId w:val="2"/>
        </w:numPr>
        <w:spacing w:after="160"/>
        <w:contextualSpacing/>
        <w:rPr>
          <w:rFonts w:ascii="Times New Roman" w:eastAsia="Calibri" w:hAnsi="Times New Roman" w:cs="Times New Roman"/>
          <w:color w:val="222222"/>
          <w:sz w:val="24"/>
          <w:szCs w:val="24"/>
          <w:shd w:val="clear" w:color="auto" w:fill="FFFFFF"/>
          <w:lang w:bidi="ar-SA"/>
        </w:rPr>
      </w:pPr>
      <w:r w:rsidRPr="00097F6E">
        <w:rPr>
          <w:rFonts w:ascii="Times New Roman" w:eastAsia="Calibri" w:hAnsi="Times New Roman" w:cs="Times New Roman"/>
          <w:color w:val="222222"/>
          <w:sz w:val="24"/>
          <w:szCs w:val="24"/>
          <w:shd w:val="clear" w:color="auto" w:fill="FFFFFF"/>
          <w:lang w:bidi="ar-SA"/>
        </w:rPr>
        <w:t>Öner, S. A Brief Analysis of Fukuyama's Thesis''The End Of History?. </w:t>
      </w:r>
      <w:r w:rsidRPr="00097F6E">
        <w:rPr>
          <w:rFonts w:ascii="Times New Roman" w:eastAsia="Calibri" w:hAnsi="Times New Roman" w:cs="Times New Roman"/>
          <w:i/>
          <w:iCs/>
          <w:color w:val="222222"/>
          <w:sz w:val="24"/>
          <w:szCs w:val="24"/>
          <w:shd w:val="clear" w:color="auto" w:fill="FFFFFF"/>
          <w:lang w:bidi="ar-SA"/>
        </w:rPr>
        <w:t>Sosyoloji Konferansları</w:t>
      </w:r>
      <w:r w:rsidRPr="00097F6E">
        <w:rPr>
          <w:rFonts w:ascii="Times New Roman" w:eastAsia="Calibri" w:hAnsi="Times New Roman" w:cs="Times New Roman"/>
          <w:color w:val="222222"/>
          <w:sz w:val="24"/>
          <w:szCs w:val="24"/>
          <w:shd w:val="clear" w:color="auto" w:fill="FFFFFF"/>
          <w:lang w:bidi="ar-SA"/>
        </w:rPr>
        <w:t>, (27), 93-106.</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eastAsia="Times New Roman" w:hAnsi="Times New Roman" w:cs="Times New Roman"/>
          <w:sz w:val="24"/>
          <w:szCs w:val="24"/>
        </w:rPr>
        <w:t xml:space="preserve">Ronald Dworkin, “Liberalism,” in Dworkin, </w:t>
      </w:r>
      <w:r w:rsidRPr="00097F6E">
        <w:rPr>
          <w:rFonts w:ascii="Times New Roman" w:eastAsia="Times New Roman" w:hAnsi="Times New Roman" w:cs="Times New Roman"/>
          <w:i/>
          <w:sz w:val="24"/>
          <w:szCs w:val="24"/>
        </w:rPr>
        <w:t>A Matter of Principle</w:t>
      </w:r>
      <w:r w:rsidRPr="00097F6E">
        <w:rPr>
          <w:rFonts w:ascii="Times New Roman" w:eastAsia="Times New Roman" w:hAnsi="Times New Roman" w:cs="Times New Roman"/>
          <w:sz w:val="24"/>
          <w:szCs w:val="24"/>
        </w:rPr>
        <w:t xml:space="preserve"> (Oxford: Clarendon, 1985), 183</w:t>
      </w:r>
    </w:p>
    <w:p w:rsidR="00097F6E" w:rsidRPr="00097F6E" w:rsidRDefault="00097F6E" w:rsidP="008C2911">
      <w:pPr>
        <w:numPr>
          <w:ilvl w:val="0"/>
          <w:numId w:val="2"/>
        </w:numPr>
        <w:spacing w:after="160"/>
        <w:contextualSpacing/>
        <w:rPr>
          <w:rFonts w:ascii="Times New Roman" w:eastAsia="Calibri" w:hAnsi="Times New Roman" w:cs="Times New Roman"/>
          <w:sz w:val="24"/>
          <w:szCs w:val="24"/>
          <w:lang w:bidi="ar-SA"/>
        </w:rPr>
      </w:pPr>
      <w:r w:rsidRPr="00097F6E">
        <w:rPr>
          <w:rFonts w:ascii="Times New Roman" w:eastAsia="Calibri" w:hAnsi="Times New Roman" w:cs="Times New Roman"/>
          <w:sz w:val="24"/>
          <w:szCs w:val="24"/>
          <w:lang w:bidi="ar-SA"/>
        </w:rPr>
        <w:t>Said, E. (2001). The clash of ignorance. </w:t>
      </w:r>
      <w:r w:rsidRPr="00097F6E">
        <w:rPr>
          <w:rFonts w:ascii="Times New Roman" w:eastAsia="Calibri" w:hAnsi="Times New Roman" w:cs="Times New Roman"/>
          <w:i/>
          <w:iCs/>
          <w:sz w:val="24"/>
          <w:szCs w:val="24"/>
          <w:lang w:bidi="ar-SA"/>
        </w:rPr>
        <w:t>The nation</w:t>
      </w:r>
      <w:r w:rsidRPr="00097F6E">
        <w:rPr>
          <w:rFonts w:ascii="Times New Roman" w:eastAsia="Calibri" w:hAnsi="Times New Roman" w:cs="Times New Roman"/>
          <w:sz w:val="24"/>
          <w:szCs w:val="24"/>
          <w:lang w:bidi="ar-SA"/>
        </w:rPr>
        <w:t>, </w:t>
      </w:r>
      <w:r w:rsidRPr="00097F6E">
        <w:rPr>
          <w:rFonts w:ascii="Times New Roman" w:eastAsia="Calibri" w:hAnsi="Times New Roman" w:cs="Times New Roman"/>
          <w:i/>
          <w:iCs/>
          <w:sz w:val="24"/>
          <w:szCs w:val="24"/>
          <w:lang w:bidi="ar-SA"/>
        </w:rPr>
        <w:t>22</w:t>
      </w:r>
      <w:r w:rsidRPr="00097F6E">
        <w:rPr>
          <w:rFonts w:ascii="Times New Roman" w:eastAsia="Calibri" w:hAnsi="Times New Roman" w:cs="Times New Roman"/>
          <w:sz w:val="24"/>
          <w:szCs w:val="24"/>
          <w:lang w:bidi="ar-SA"/>
        </w:rPr>
        <w:t>.</w:t>
      </w:r>
    </w:p>
    <w:p w:rsidR="00097F6E" w:rsidRPr="00097F6E" w:rsidRDefault="00097F6E" w:rsidP="008C2911">
      <w:pPr>
        <w:numPr>
          <w:ilvl w:val="0"/>
          <w:numId w:val="2"/>
        </w:numPr>
        <w:spacing w:after="160"/>
        <w:contextualSpacing/>
        <w:rPr>
          <w:rFonts w:ascii="Times New Roman" w:eastAsia="Calibri" w:hAnsi="Times New Roman" w:cs="Times New Roman"/>
          <w:sz w:val="24"/>
          <w:szCs w:val="24"/>
          <w:lang w:bidi="ar-SA"/>
        </w:rPr>
      </w:pPr>
      <w:r w:rsidRPr="00097F6E">
        <w:rPr>
          <w:rFonts w:ascii="Times New Roman" w:eastAsia="Calibri" w:hAnsi="Times New Roman" w:cs="Times New Roman"/>
          <w:sz w:val="24"/>
          <w:szCs w:val="24"/>
          <w:lang w:bidi="ar-SA"/>
        </w:rPr>
        <w:t xml:space="preserve">Samuel P. Huntington, “Religion, Culture, and International Conflict After September 11: A Conversation with Samuel P. Huntington,” </w:t>
      </w:r>
      <w:r w:rsidRPr="00097F6E">
        <w:rPr>
          <w:rFonts w:ascii="Times New Roman" w:eastAsia="Calibri" w:hAnsi="Times New Roman" w:cs="Times New Roman"/>
          <w:i/>
          <w:iCs/>
          <w:sz w:val="24"/>
          <w:szCs w:val="24"/>
          <w:lang w:bidi="ar-SA"/>
        </w:rPr>
        <w:t>Ethics and Public Policy Center Online</w:t>
      </w:r>
      <w:r w:rsidRPr="00097F6E">
        <w:rPr>
          <w:rFonts w:ascii="Times New Roman" w:eastAsia="Calibri" w:hAnsi="Times New Roman" w:cs="Times New Roman"/>
          <w:sz w:val="24"/>
          <w:szCs w:val="24"/>
          <w:lang w:bidi="ar-SA"/>
        </w:rPr>
        <w:t>, June 17, 2002</w:t>
      </w:r>
    </w:p>
    <w:p w:rsidR="00097F6E" w:rsidRPr="00097F6E" w:rsidRDefault="00097F6E" w:rsidP="008C2911">
      <w:pPr>
        <w:numPr>
          <w:ilvl w:val="0"/>
          <w:numId w:val="2"/>
        </w:numPr>
        <w:spacing w:after="160"/>
        <w:contextualSpacing/>
        <w:rPr>
          <w:rFonts w:ascii="Times New Roman" w:eastAsia="Times New Roman" w:hAnsi="Times New Roman" w:cs="Times New Roman"/>
          <w:sz w:val="24"/>
          <w:szCs w:val="24"/>
        </w:rPr>
      </w:pPr>
      <w:r w:rsidRPr="00097F6E">
        <w:rPr>
          <w:rFonts w:ascii="Times New Roman" w:eastAsia="Times New Roman" w:hAnsi="Times New Roman" w:cs="Times New Roman"/>
          <w:sz w:val="24"/>
          <w:szCs w:val="24"/>
        </w:rPr>
        <w:t>Samuel P. Huntington, The Clash of Civilizations and the Remaking of World Order (New York: Simon &amp; Schuster, 2003), 21.</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eastAsia="Calibri" w:hAnsi="Times New Roman" w:cs="Times New Roman"/>
          <w:sz w:val="24"/>
          <w:szCs w:val="24"/>
          <w:lang w:bidi="ar-SA"/>
        </w:rPr>
        <w:t>Samuel P. Huntington, The Clash of Civilizations and the Remaking of World Order (New York: Simon &amp; Schuster, 2003), 43.</w:t>
      </w:r>
    </w:p>
    <w:p w:rsidR="00097F6E" w:rsidRPr="00097F6E" w:rsidRDefault="00097F6E" w:rsidP="008C2911">
      <w:pPr>
        <w:numPr>
          <w:ilvl w:val="0"/>
          <w:numId w:val="2"/>
        </w:numPr>
        <w:spacing w:after="160"/>
        <w:contextualSpacing/>
        <w:jc w:val="both"/>
        <w:rPr>
          <w:rFonts w:ascii="Times New Roman" w:eastAsia="Calibri" w:hAnsi="Times New Roman" w:cs="Times New Roman"/>
          <w:sz w:val="24"/>
          <w:szCs w:val="24"/>
          <w:lang w:bidi="ar-SA"/>
        </w:rPr>
      </w:pPr>
      <w:r w:rsidRPr="00097F6E">
        <w:rPr>
          <w:rFonts w:ascii="Times New Roman" w:eastAsia="Calibri" w:hAnsi="Times New Roman" w:cs="Times New Roman"/>
          <w:color w:val="222222"/>
          <w:sz w:val="24"/>
          <w:szCs w:val="24"/>
          <w:shd w:val="clear" w:color="auto" w:fill="FFFFFF"/>
          <w:lang w:bidi="ar-SA"/>
        </w:rPr>
        <w:t>Sanoff, A. P. (1992). AFTER THE END OF HISTORY, WHAT NEXT?. </w:t>
      </w:r>
      <w:r w:rsidRPr="00097F6E">
        <w:rPr>
          <w:rFonts w:ascii="Times New Roman" w:eastAsia="Calibri" w:hAnsi="Times New Roman" w:cs="Times New Roman"/>
          <w:i/>
          <w:iCs/>
          <w:color w:val="222222"/>
          <w:sz w:val="24"/>
          <w:szCs w:val="24"/>
          <w:shd w:val="clear" w:color="auto" w:fill="FFFFFF"/>
          <w:lang w:bidi="ar-SA"/>
        </w:rPr>
        <w:t>US News &amp; World Report</w:t>
      </w:r>
      <w:r w:rsidRPr="00097F6E">
        <w:rPr>
          <w:rFonts w:ascii="Times New Roman" w:eastAsia="Calibri" w:hAnsi="Times New Roman" w:cs="Times New Roman"/>
          <w:color w:val="222222"/>
          <w:sz w:val="24"/>
          <w:szCs w:val="24"/>
          <w:shd w:val="clear" w:color="auto" w:fill="FFFFFF"/>
          <w:lang w:bidi="ar-SA"/>
        </w:rPr>
        <w:t>, </w:t>
      </w:r>
      <w:r w:rsidRPr="00097F6E">
        <w:rPr>
          <w:rFonts w:ascii="Times New Roman" w:eastAsia="Calibri" w:hAnsi="Times New Roman" w:cs="Times New Roman"/>
          <w:i/>
          <w:iCs/>
          <w:color w:val="222222"/>
          <w:sz w:val="24"/>
          <w:szCs w:val="24"/>
          <w:shd w:val="clear" w:color="auto" w:fill="FFFFFF"/>
          <w:lang w:bidi="ar-SA"/>
        </w:rPr>
        <w:t>112</w:t>
      </w:r>
      <w:r w:rsidRPr="00097F6E">
        <w:rPr>
          <w:rFonts w:ascii="Times New Roman" w:eastAsia="Calibri" w:hAnsi="Times New Roman" w:cs="Times New Roman"/>
          <w:color w:val="222222"/>
          <w:sz w:val="24"/>
          <w:szCs w:val="24"/>
          <w:shd w:val="clear" w:color="auto" w:fill="FFFFFF"/>
          <w:lang w:bidi="ar-SA"/>
        </w:rPr>
        <w:t>(2), 59-60.</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eastAsia="Times New Roman" w:hAnsi="Times New Roman" w:cs="Times New Roman"/>
          <w:sz w:val="24"/>
          <w:szCs w:val="24"/>
        </w:rPr>
        <w:lastRenderedPageBreak/>
        <w:t xml:space="preserve">Shklar, “Liberalism,” 3. On liberty as “normatively basic” see Gerald Gaus and Shane Courtland, “Liberalism,” </w:t>
      </w:r>
      <w:r w:rsidRPr="00097F6E">
        <w:rPr>
          <w:rFonts w:ascii="Times New Roman" w:eastAsia="Times New Roman" w:hAnsi="Times New Roman" w:cs="Times New Roman"/>
          <w:i/>
          <w:sz w:val="24"/>
          <w:szCs w:val="24"/>
        </w:rPr>
        <w:t>The Stanford Encyclopaedia of Philosophy</w:t>
      </w:r>
      <w:r w:rsidRPr="00097F6E">
        <w:rPr>
          <w:rFonts w:ascii="Times New Roman" w:eastAsia="Times New Roman" w:hAnsi="Times New Roman" w:cs="Times New Roman"/>
          <w:sz w:val="24"/>
          <w:szCs w:val="24"/>
        </w:rPr>
        <w:t xml:space="preserve">, ed.EdwardZalta. Retrieved 27 March 2021. </w:t>
      </w:r>
    </w:p>
    <w:p w:rsidR="00097F6E" w:rsidRPr="00097F6E" w:rsidRDefault="00097F6E" w:rsidP="008C2911">
      <w:pPr>
        <w:numPr>
          <w:ilvl w:val="0"/>
          <w:numId w:val="2"/>
        </w:numPr>
        <w:spacing w:after="160"/>
        <w:contextualSpacing/>
        <w:jc w:val="both"/>
        <w:rPr>
          <w:rFonts w:ascii="Times New Roman" w:eastAsia="Calibri" w:hAnsi="Times New Roman" w:cs="Times New Roman"/>
          <w:sz w:val="24"/>
          <w:szCs w:val="24"/>
          <w:lang w:bidi="ar-SA"/>
        </w:rPr>
      </w:pPr>
      <w:r w:rsidRPr="00097F6E">
        <w:rPr>
          <w:rFonts w:ascii="Times New Roman" w:hAnsi="Times New Roman" w:cs="Times New Roman"/>
          <w:i/>
          <w:iCs/>
          <w:sz w:val="24"/>
          <w:szCs w:val="24"/>
        </w:rPr>
        <w:t>Social Psychology Quarterly</w:t>
      </w:r>
      <w:r w:rsidRPr="00097F6E">
        <w:rPr>
          <w:rFonts w:ascii="Times New Roman" w:hAnsi="Times New Roman" w:cs="Times New Roman"/>
          <w:sz w:val="24"/>
          <w:szCs w:val="24"/>
        </w:rPr>
        <w:t>. </w:t>
      </w:r>
      <w:r w:rsidRPr="00097F6E">
        <w:rPr>
          <w:rFonts w:ascii="Times New Roman" w:hAnsi="Times New Roman" w:cs="Times New Roman"/>
          <w:b/>
          <w:bCs/>
          <w:sz w:val="24"/>
          <w:szCs w:val="24"/>
        </w:rPr>
        <w:t>73</w:t>
      </w:r>
      <w:r w:rsidRPr="00097F6E">
        <w:rPr>
          <w:rFonts w:ascii="Times New Roman" w:hAnsi="Times New Roman" w:cs="Times New Roman"/>
          <w:sz w:val="24"/>
          <w:szCs w:val="24"/>
        </w:rPr>
        <w:t> (1): 33–57. Doi: 10.1177/0190272510361602</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What Exactly Is a 'Liberal'?. (2021). Retrieved 31 March 2021, from https://www.merriam-webster.com/words-at-play/liberal-meaning-origin-history</w:t>
      </w:r>
    </w:p>
    <w:p w:rsidR="00097F6E" w:rsidRPr="00097F6E" w:rsidRDefault="00097F6E" w:rsidP="008C2911">
      <w:pPr>
        <w:numPr>
          <w:ilvl w:val="0"/>
          <w:numId w:val="2"/>
        </w:numPr>
        <w:spacing w:after="160"/>
        <w:contextualSpacing/>
        <w:rPr>
          <w:rFonts w:ascii="Times New Roman" w:hAnsi="Times New Roman" w:cs="Times New Roman"/>
          <w:sz w:val="24"/>
          <w:szCs w:val="24"/>
        </w:rPr>
      </w:pPr>
      <w:r w:rsidRPr="00097F6E">
        <w:rPr>
          <w:rFonts w:ascii="Times New Roman" w:hAnsi="Times New Roman" w:cs="Times New Roman"/>
          <w:sz w:val="24"/>
          <w:szCs w:val="24"/>
        </w:rPr>
        <w:t>Williams, Sullivan, and Matthews</w:t>
      </w:r>
      <w:r w:rsidRPr="00097F6E">
        <w:rPr>
          <w:rFonts w:ascii="Times New Roman" w:hAnsi="Times New Roman" w:cs="Times New Roman"/>
          <w:i/>
          <w:sz w:val="24"/>
          <w:szCs w:val="24"/>
        </w:rPr>
        <w:t>, Francis Fukuyama and the End of History</w:t>
      </w:r>
      <w:r w:rsidRPr="00097F6E">
        <w:rPr>
          <w:rFonts w:ascii="Times New Roman" w:hAnsi="Times New Roman" w:cs="Times New Roman"/>
          <w:sz w:val="24"/>
          <w:szCs w:val="24"/>
        </w:rPr>
        <w:t>, 34.</w:t>
      </w:r>
    </w:p>
    <w:p w:rsidR="00097F6E" w:rsidRPr="00097F6E" w:rsidRDefault="00097F6E" w:rsidP="008C2911">
      <w:pPr>
        <w:numPr>
          <w:ilvl w:val="0"/>
          <w:numId w:val="2"/>
        </w:numPr>
        <w:spacing w:after="160"/>
        <w:contextualSpacing/>
        <w:rPr>
          <w:sz w:val="24"/>
          <w:szCs w:val="24"/>
        </w:rPr>
      </w:pPr>
      <w:r w:rsidRPr="00097F6E">
        <w:rPr>
          <w:rFonts w:ascii="Times New Roman" w:hAnsi="Times New Roman" w:cs="Times New Roman"/>
          <w:sz w:val="24"/>
          <w:szCs w:val="24"/>
        </w:rPr>
        <w:t xml:space="preserve">Wuriga, R. (2003). </w:t>
      </w:r>
      <w:r w:rsidRPr="00097F6E">
        <w:rPr>
          <w:rFonts w:ascii="Times New Roman" w:hAnsi="Times New Roman" w:cs="Times New Roman"/>
          <w:i/>
          <w:sz w:val="24"/>
          <w:szCs w:val="24"/>
        </w:rPr>
        <w:t>Ideology, Virtue and Well-being: A Critical Examination of Francis Fukuyama's Notion of Liberal Democracy</w:t>
      </w:r>
      <w:r w:rsidRPr="00097F6E">
        <w:rPr>
          <w:rFonts w:ascii="Times New Roman" w:hAnsi="Times New Roman" w:cs="Times New Roman"/>
          <w:sz w:val="24"/>
          <w:szCs w:val="24"/>
        </w:rPr>
        <w:t xml:space="preserve"> (Doctoral dissertation, University of KwaZulu-Natal, Durban).</w:t>
      </w:r>
    </w:p>
    <w:p w:rsidR="00097F6E" w:rsidRPr="00097F6E" w:rsidRDefault="00097F6E" w:rsidP="008C2911">
      <w:pPr>
        <w:numPr>
          <w:ilvl w:val="0"/>
          <w:numId w:val="2"/>
        </w:numPr>
        <w:spacing w:after="160"/>
        <w:contextualSpacing/>
        <w:jc w:val="both"/>
        <w:rPr>
          <w:rFonts w:ascii="Times New Roman" w:eastAsia="Calibri" w:hAnsi="Times New Roman" w:cs="Times New Roman"/>
          <w:sz w:val="24"/>
          <w:szCs w:val="24"/>
          <w:lang w:bidi="ar-SA"/>
        </w:rPr>
      </w:pPr>
      <w:r w:rsidRPr="00097F6E">
        <w:rPr>
          <w:rFonts w:ascii="Times New Roman" w:eastAsia="Calibri" w:hAnsi="Times New Roman" w:cs="Times New Roman"/>
          <w:sz w:val="24"/>
          <w:szCs w:val="24"/>
          <w:lang w:bidi="ar-SA"/>
        </w:rPr>
        <w:t>Yang, C. Y. (2010). Revisiting Fukuyama: The End of History, the Clash of Civilizations, and the Age of Empire.</w:t>
      </w:r>
    </w:p>
    <w:p w:rsidR="00097F6E" w:rsidRPr="00097F6E" w:rsidRDefault="00097F6E" w:rsidP="008C2911">
      <w:pPr>
        <w:numPr>
          <w:ilvl w:val="0"/>
          <w:numId w:val="2"/>
        </w:numPr>
        <w:spacing w:after="160"/>
        <w:contextualSpacing/>
        <w:jc w:val="both"/>
        <w:rPr>
          <w:rFonts w:ascii="Times New Roman" w:hAnsi="Times New Roman" w:cs="Times New Roman"/>
          <w:sz w:val="24"/>
          <w:szCs w:val="24"/>
        </w:rPr>
      </w:pPr>
      <w:r w:rsidRPr="00097F6E">
        <w:rPr>
          <w:rFonts w:ascii="Times New Roman" w:hAnsi="Times New Roman" w:cs="Times New Roman"/>
          <w:sz w:val="24"/>
          <w:szCs w:val="24"/>
        </w:rPr>
        <w:t>Yar, M. (2001). Recognition and the Politics of Human (e) Desire. </w:t>
      </w:r>
      <w:r w:rsidRPr="00097F6E">
        <w:rPr>
          <w:rFonts w:ascii="Times New Roman" w:hAnsi="Times New Roman" w:cs="Times New Roman"/>
          <w:i/>
          <w:iCs/>
          <w:sz w:val="24"/>
          <w:szCs w:val="24"/>
        </w:rPr>
        <w:t>Theory, Culture &amp; Society</w:t>
      </w:r>
      <w:r w:rsidRPr="00097F6E">
        <w:rPr>
          <w:rFonts w:ascii="Times New Roman" w:hAnsi="Times New Roman" w:cs="Times New Roman"/>
          <w:sz w:val="24"/>
          <w:szCs w:val="24"/>
        </w:rPr>
        <w:t>, </w:t>
      </w:r>
      <w:r w:rsidRPr="00097F6E">
        <w:rPr>
          <w:rFonts w:ascii="Times New Roman" w:hAnsi="Times New Roman" w:cs="Times New Roman"/>
          <w:i/>
          <w:iCs/>
          <w:sz w:val="24"/>
          <w:szCs w:val="24"/>
        </w:rPr>
        <w:t>18</w:t>
      </w:r>
      <w:r w:rsidRPr="00097F6E">
        <w:rPr>
          <w:rFonts w:ascii="Times New Roman" w:hAnsi="Times New Roman" w:cs="Times New Roman"/>
          <w:sz w:val="24"/>
          <w:szCs w:val="24"/>
        </w:rPr>
        <w:t>(2-3), 57-76.</w:t>
      </w:r>
    </w:p>
    <w:sectPr w:rsidR="00097F6E" w:rsidRPr="00097F6E" w:rsidSect="00591231">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BC8" w:rsidRDefault="00886BC8">
      <w:pPr>
        <w:spacing w:line="240" w:lineRule="auto"/>
      </w:pPr>
      <w:r>
        <w:separator/>
      </w:r>
    </w:p>
  </w:endnote>
  <w:endnote w:type="continuationSeparator" w:id="1">
    <w:p w:rsidR="00886BC8" w:rsidRDefault="00886BC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BC8" w:rsidRDefault="00886BC8">
      <w:pPr>
        <w:spacing w:line="240" w:lineRule="auto"/>
      </w:pPr>
      <w:r>
        <w:separator/>
      </w:r>
    </w:p>
  </w:footnote>
  <w:footnote w:type="continuationSeparator" w:id="1">
    <w:p w:rsidR="00886BC8" w:rsidRDefault="00886BC8">
      <w:pPr>
        <w:spacing w:line="240" w:lineRule="auto"/>
      </w:pPr>
      <w:r>
        <w:continuationSeparator/>
      </w:r>
    </w:p>
  </w:footnote>
  <w:footnote w:id="2">
    <w:p w:rsidR="00035D8D" w:rsidRPr="00E46F5D" w:rsidRDefault="00B434B0" w:rsidP="00714819">
      <w:pPr>
        <w:spacing w:line="360" w:lineRule="auto"/>
        <w:ind w:left="360" w:hanging="360"/>
        <w:contextualSpacing/>
        <w:jc w:val="both"/>
        <w:rPr>
          <w:rFonts w:ascii="Times New Roman" w:eastAsia="Calibri" w:hAnsi="Times New Roman" w:cs="Times New Roman"/>
          <w:color w:val="222222"/>
          <w:sz w:val="20"/>
          <w:szCs w:val="20"/>
          <w:shd w:val="clear" w:color="auto" w:fill="FFFFFF"/>
          <w:lang w:bidi="ar-SA"/>
        </w:rPr>
      </w:pPr>
      <w:r w:rsidRPr="00E46F5D">
        <w:rPr>
          <w:rFonts w:ascii="Times New Roman" w:hAnsi="Times New Roman" w:cs="Times New Roman"/>
          <w:sz w:val="20"/>
          <w:szCs w:val="20"/>
          <w:vertAlign w:val="superscript"/>
        </w:rPr>
        <w:footnoteRef/>
      </w:r>
      <w:bookmarkStart w:id="0" w:name="_Hlk69064644"/>
      <w:r w:rsidR="00714819" w:rsidRPr="00E46F5D">
        <w:rPr>
          <w:rFonts w:ascii="Times New Roman" w:eastAsia="Calibri" w:hAnsi="Times New Roman" w:cs="Times New Roman"/>
          <w:color w:val="222222"/>
          <w:sz w:val="20"/>
          <w:szCs w:val="20"/>
          <w:shd w:val="clear" w:color="auto" w:fill="FFFFFF"/>
          <w:lang w:bidi="ar-SA"/>
        </w:rPr>
        <w:t>Öner, S. A Brief Analysis of Fukuyama's Thesis''The End Of History?. </w:t>
      </w:r>
      <w:r w:rsidR="00714819" w:rsidRPr="00E46F5D">
        <w:rPr>
          <w:rFonts w:ascii="Times New Roman" w:eastAsia="Calibri" w:hAnsi="Times New Roman" w:cs="Times New Roman"/>
          <w:i/>
          <w:iCs/>
          <w:color w:val="222222"/>
          <w:sz w:val="20"/>
          <w:szCs w:val="20"/>
          <w:shd w:val="clear" w:color="auto" w:fill="FFFFFF"/>
          <w:lang w:bidi="ar-SA"/>
        </w:rPr>
        <w:t>Sosyoloji Konferansları</w:t>
      </w:r>
      <w:r w:rsidR="00714819" w:rsidRPr="00E46F5D">
        <w:rPr>
          <w:rFonts w:ascii="Times New Roman" w:eastAsia="Calibri" w:hAnsi="Times New Roman" w:cs="Times New Roman"/>
          <w:color w:val="222222"/>
          <w:sz w:val="20"/>
          <w:szCs w:val="20"/>
          <w:shd w:val="clear" w:color="auto" w:fill="FFFFFF"/>
          <w:lang w:bidi="ar-SA"/>
        </w:rPr>
        <w:t>, (27), 93-106.</w:t>
      </w:r>
      <w:bookmarkEnd w:id="0"/>
    </w:p>
  </w:footnote>
  <w:footnote w:id="3">
    <w:p w:rsidR="00035D8D" w:rsidRPr="00E46F5D" w:rsidRDefault="00B434B0" w:rsidP="00E46F5D">
      <w:pPr>
        <w:spacing w:line="360" w:lineRule="auto"/>
        <w:ind w:left="360" w:hanging="360"/>
        <w:contextualSpacing/>
        <w:jc w:val="both"/>
        <w:rPr>
          <w:rFonts w:ascii="Times New Roman" w:eastAsia="Calibri" w:hAnsi="Times New Roman" w:cs="Times New Roman"/>
          <w:sz w:val="20"/>
          <w:szCs w:val="20"/>
          <w:lang w:bidi="ar-SA"/>
        </w:rPr>
      </w:pPr>
      <w:r w:rsidRPr="00E46F5D">
        <w:rPr>
          <w:rFonts w:ascii="Times New Roman" w:hAnsi="Times New Roman" w:cs="Times New Roman"/>
          <w:sz w:val="20"/>
          <w:szCs w:val="20"/>
          <w:vertAlign w:val="superscript"/>
        </w:rPr>
        <w:footnoteRef/>
      </w:r>
      <w:r w:rsidRPr="00E46F5D">
        <w:rPr>
          <w:rFonts w:ascii="Times New Roman" w:hAnsi="Times New Roman" w:cs="Times New Roman"/>
          <w:sz w:val="20"/>
          <w:szCs w:val="20"/>
        </w:rPr>
        <w:t>.</w:t>
      </w:r>
      <w:r w:rsidR="00714819" w:rsidRPr="00E46F5D">
        <w:rPr>
          <w:rFonts w:ascii="Times New Roman" w:eastAsia="Calibri" w:hAnsi="Times New Roman" w:cs="Times New Roman"/>
          <w:sz w:val="20"/>
          <w:szCs w:val="20"/>
          <w:lang w:bidi="ar-SA"/>
        </w:rPr>
        <w:t>Yang, C. Y. (2010). Revisiting Fukuyama: The End of History, the Clash of Civilizations, and the Age of Empire.</w:t>
      </w:r>
    </w:p>
  </w:footnote>
  <w:footnote w:id="4">
    <w:p w:rsidR="00035D8D" w:rsidRPr="00E46F5D" w:rsidRDefault="00B434B0" w:rsidP="00E46F5D">
      <w:pPr>
        <w:spacing w:line="360" w:lineRule="auto"/>
        <w:rPr>
          <w:rFonts w:ascii="Times New Roman" w:hAnsi="Times New Roman" w:cs="Times New Roman"/>
          <w:sz w:val="20"/>
          <w:szCs w:val="20"/>
        </w:rPr>
      </w:pPr>
      <w:r w:rsidRPr="00E46F5D">
        <w:rPr>
          <w:rFonts w:ascii="Times New Roman" w:hAnsi="Times New Roman" w:cs="Times New Roman"/>
          <w:sz w:val="20"/>
          <w:szCs w:val="20"/>
          <w:vertAlign w:val="superscript"/>
        </w:rPr>
        <w:footnoteRef/>
      </w:r>
      <w:r w:rsidRPr="00E46F5D">
        <w:rPr>
          <w:rFonts w:ascii="Times New Roman" w:hAnsi="Times New Roman" w:cs="Times New Roman"/>
          <w:sz w:val="20"/>
          <w:szCs w:val="20"/>
        </w:rPr>
        <w:t xml:space="preserve">Liberalism - By Branch / Doctrine - The Basics of Philosophy. (2021). Retrieved 31 March 2021, from </w:t>
      </w:r>
      <w:hyperlink r:id="rId1">
        <w:r w:rsidRPr="00E46F5D">
          <w:rPr>
            <w:rFonts w:ascii="Times New Roman" w:hAnsi="Times New Roman" w:cs="Times New Roman"/>
            <w:color w:val="1155CC"/>
            <w:sz w:val="20"/>
            <w:szCs w:val="20"/>
            <w:u w:val="single"/>
          </w:rPr>
          <w:t>https://www.philosophybasics.com/branch_liberalism.html</w:t>
        </w:r>
      </w:hyperlink>
    </w:p>
    <w:p w:rsidR="00035D8D" w:rsidRPr="00E46F5D" w:rsidRDefault="00B434B0" w:rsidP="00E46F5D">
      <w:pPr>
        <w:spacing w:line="360" w:lineRule="auto"/>
        <w:rPr>
          <w:rFonts w:ascii="Times New Roman" w:hAnsi="Times New Roman" w:cs="Times New Roman"/>
          <w:sz w:val="20"/>
          <w:szCs w:val="20"/>
        </w:rPr>
      </w:pPr>
      <w:r w:rsidRPr="00E46F5D">
        <w:rPr>
          <w:rFonts w:ascii="Times New Roman" w:hAnsi="Times New Roman" w:cs="Times New Roman"/>
          <w:sz w:val="20"/>
          <w:szCs w:val="20"/>
        </w:rPr>
        <w:t>* Edinburgh Review: A Scottish Magazine, published from 1802 to 1929, contributed to the development of literary criticism in a modern way.</w:t>
      </w:r>
    </w:p>
    <w:p w:rsidR="00035D8D" w:rsidRDefault="00035D8D">
      <w:pPr>
        <w:spacing w:line="240" w:lineRule="auto"/>
        <w:rPr>
          <w:sz w:val="20"/>
          <w:szCs w:val="20"/>
        </w:rPr>
      </w:pPr>
    </w:p>
  </w:footnote>
  <w:footnote w:id="5">
    <w:p w:rsidR="00035D8D" w:rsidRPr="00E46F5D" w:rsidRDefault="00B434B0" w:rsidP="00E46F5D">
      <w:pPr>
        <w:spacing w:line="360" w:lineRule="auto"/>
        <w:rPr>
          <w:rFonts w:ascii="Times New Roman" w:hAnsi="Times New Roman" w:cs="Times New Roman"/>
          <w:sz w:val="20"/>
          <w:szCs w:val="20"/>
        </w:rPr>
      </w:pPr>
      <w:r w:rsidRPr="00E46F5D">
        <w:rPr>
          <w:rFonts w:ascii="Times New Roman" w:hAnsi="Times New Roman" w:cs="Times New Roman"/>
          <w:sz w:val="20"/>
          <w:szCs w:val="20"/>
          <w:vertAlign w:val="superscript"/>
        </w:rPr>
        <w:footnoteRef/>
      </w:r>
      <w:r w:rsidRPr="00E46F5D">
        <w:rPr>
          <w:rFonts w:ascii="Times New Roman" w:hAnsi="Times New Roman" w:cs="Times New Roman"/>
          <w:sz w:val="20"/>
          <w:szCs w:val="20"/>
        </w:rPr>
        <w:t>Klein, D. (2014). The Origin of 'Liberalism'. Retrieved 31 March 2021, from https://www.theatlantic.com/politics/archive/2014/02/the-origin-of-liberalism/283780/</w:t>
      </w:r>
    </w:p>
  </w:footnote>
  <w:footnote w:id="6">
    <w:p w:rsidR="00035D8D" w:rsidRPr="00E46F5D" w:rsidRDefault="00B434B0" w:rsidP="00E46F5D">
      <w:pPr>
        <w:spacing w:line="360" w:lineRule="auto"/>
        <w:rPr>
          <w:rFonts w:ascii="Times New Roman" w:hAnsi="Times New Roman" w:cs="Times New Roman"/>
          <w:sz w:val="20"/>
          <w:szCs w:val="20"/>
        </w:rPr>
      </w:pPr>
      <w:r w:rsidRPr="00E46F5D">
        <w:rPr>
          <w:rFonts w:ascii="Times New Roman" w:hAnsi="Times New Roman" w:cs="Times New Roman"/>
          <w:sz w:val="20"/>
          <w:szCs w:val="20"/>
          <w:vertAlign w:val="superscript"/>
        </w:rPr>
        <w:footnoteRef/>
      </w:r>
      <w:r w:rsidRPr="00E46F5D">
        <w:rPr>
          <w:rFonts w:ascii="Times New Roman" w:hAnsi="Times New Roman" w:cs="Times New Roman"/>
          <w:sz w:val="20"/>
          <w:szCs w:val="20"/>
        </w:rPr>
        <w:t xml:space="preserve">Bell, D. (2014). What is liberalism?. </w:t>
      </w:r>
      <w:r w:rsidRPr="00E46F5D">
        <w:rPr>
          <w:rFonts w:ascii="Times New Roman" w:hAnsi="Times New Roman" w:cs="Times New Roman"/>
          <w:i/>
          <w:sz w:val="20"/>
          <w:szCs w:val="20"/>
        </w:rPr>
        <w:t>Political Theory</w:t>
      </w:r>
      <w:r w:rsidRPr="00E46F5D">
        <w:rPr>
          <w:rFonts w:ascii="Times New Roman" w:hAnsi="Times New Roman" w:cs="Times New Roman"/>
          <w:sz w:val="20"/>
          <w:szCs w:val="20"/>
        </w:rPr>
        <w:t>, 42(6), 682-715.</w:t>
      </w:r>
    </w:p>
  </w:footnote>
  <w:footnote w:id="7">
    <w:p w:rsidR="00035D8D" w:rsidRPr="00E46F5D" w:rsidRDefault="00B434B0" w:rsidP="00E46F5D">
      <w:pPr>
        <w:spacing w:line="360" w:lineRule="auto"/>
        <w:rPr>
          <w:rFonts w:ascii="Times New Roman" w:hAnsi="Times New Roman" w:cs="Times New Roman"/>
          <w:sz w:val="20"/>
          <w:szCs w:val="20"/>
        </w:rPr>
      </w:pPr>
      <w:r w:rsidRPr="00E46F5D">
        <w:rPr>
          <w:rFonts w:ascii="Times New Roman" w:hAnsi="Times New Roman" w:cs="Times New Roman"/>
          <w:sz w:val="20"/>
          <w:szCs w:val="20"/>
          <w:vertAlign w:val="superscript"/>
        </w:rPr>
        <w:footnoteRef/>
      </w:r>
      <w:r w:rsidRPr="00E46F5D">
        <w:rPr>
          <w:rFonts w:ascii="Times New Roman" w:hAnsi="Times New Roman" w:cs="Times New Roman"/>
          <w:sz w:val="20"/>
          <w:szCs w:val="20"/>
        </w:rPr>
        <w:t>Fukuyama, F. (1992). The End of History and the Last Man (Hamilton, London).</w:t>
      </w:r>
    </w:p>
  </w:footnote>
  <w:footnote w:id="8">
    <w:p w:rsidR="00035D8D" w:rsidRPr="00714819" w:rsidRDefault="00B434B0" w:rsidP="00E46F5D">
      <w:pPr>
        <w:spacing w:line="360" w:lineRule="auto"/>
        <w:ind w:left="360" w:hanging="360"/>
        <w:contextualSpacing/>
        <w:jc w:val="both"/>
        <w:rPr>
          <w:rFonts w:ascii="Times New Roman" w:eastAsia="Calibri" w:hAnsi="Times New Roman" w:cs="Vrinda"/>
          <w:sz w:val="24"/>
          <w:szCs w:val="24"/>
          <w:lang w:bidi="ar-SA"/>
        </w:rPr>
      </w:pPr>
      <w:r w:rsidRPr="00E46F5D">
        <w:rPr>
          <w:rFonts w:ascii="Times New Roman" w:hAnsi="Times New Roman" w:cs="Times New Roman"/>
          <w:sz w:val="20"/>
          <w:szCs w:val="20"/>
          <w:vertAlign w:val="superscript"/>
        </w:rPr>
        <w:footnoteRef/>
      </w:r>
      <w:r w:rsidR="00714819" w:rsidRPr="00E46F5D">
        <w:rPr>
          <w:rFonts w:ascii="Times New Roman" w:hAnsi="Times New Roman" w:cs="Times New Roman"/>
          <w:sz w:val="20"/>
          <w:szCs w:val="20"/>
        </w:rPr>
        <w:t>HILL, D. 1999. World: Voices of the Millenium - Fall of Communism Marked the End of History. Retrieved 31 March 2021, from  http://www.rferl.org/nca/features/1999/07/F.RU.9907271307278.html</w:t>
      </w:r>
    </w:p>
  </w:footnote>
  <w:footnote w:id="9">
    <w:p w:rsidR="00035D8D" w:rsidRPr="00833869" w:rsidRDefault="00B434B0" w:rsidP="00833869">
      <w:pPr>
        <w:spacing w:line="360" w:lineRule="auto"/>
        <w:rPr>
          <w:rFonts w:ascii="Times New Roman" w:hAnsi="Times New Roman" w:cs="Times New Roman"/>
          <w:sz w:val="20"/>
          <w:szCs w:val="20"/>
        </w:rPr>
      </w:pPr>
      <w:r w:rsidRPr="00833869">
        <w:rPr>
          <w:rFonts w:ascii="Times New Roman" w:hAnsi="Times New Roman" w:cs="Times New Roman"/>
          <w:sz w:val="20"/>
          <w:szCs w:val="20"/>
          <w:vertAlign w:val="superscript"/>
        </w:rPr>
        <w:footnoteRef/>
      </w:r>
      <w:r w:rsidRPr="00833869">
        <w:rPr>
          <w:rFonts w:ascii="Times New Roman" w:hAnsi="Times New Roman" w:cs="Times New Roman"/>
          <w:color w:val="222222"/>
          <w:sz w:val="20"/>
          <w:szCs w:val="20"/>
          <w:highlight w:val="white"/>
        </w:rPr>
        <w:t xml:space="preserve">Kimball, R. (1992). Francis Fukuyama &amp; the end of history. </w:t>
      </w:r>
      <w:r w:rsidRPr="00833869">
        <w:rPr>
          <w:rFonts w:ascii="Times New Roman" w:hAnsi="Times New Roman" w:cs="Times New Roman"/>
          <w:i/>
          <w:color w:val="222222"/>
          <w:sz w:val="20"/>
          <w:szCs w:val="20"/>
          <w:highlight w:val="white"/>
        </w:rPr>
        <w:t>The New Criterion</w:t>
      </w:r>
      <w:r w:rsidRPr="00833869">
        <w:rPr>
          <w:rFonts w:ascii="Times New Roman" w:hAnsi="Times New Roman" w:cs="Times New Roman"/>
          <w:color w:val="222222"/>
          <w:sz w:val="20"/>
          <w:szCs w:val="20"/>
          <w:highlight w:val="white"/>
        </w:rPr>
        <w:t xml:space="preserve">, </w:t>
      </w:r>
      <w:r w:rsidRPr="00833869">
        <w:rPr>
          <w:rFonts w:ascii="Times New Roman" w:hAnsi="Times New Roman" w:cs="Times New Roman"/>
          <w:i/>
          <w:color w:val="222222"/>
          <w:sz w:val="20"/>
          <w:szCs w:val="20"/>
          <w:highlight w:val="white"/>
        </w:rPr>
        <w:t>10</w:t>
      </w:r>
      <w:r w:rsidRPr="00833869">
        <w:rPr>
          <w:rFonts w:ascii="Times New Roman" w:hAnsi="Times New Roman" w:cs="Times New Roman"/>
          <w:color w:val="222222"/>
          <w:sz w:val="20"/>
          <w:szCs w:val="20"/>
          <w:highlight w:val="white"/>
        </w:rPr>
        <w:t>(6), 1-10.</w:t>
      </w:r>
    </w:p>
  </w:footnote>
  <w:footnote w:id="10">
    <w:p w:rsidR="00035D8D" w:rsidRPr="00833869" w:rsidRDefault="00B434B0" w:rsidP="00833869">
      <w:pPr>
        <w:spacing w:line="360" w:lineRule="auto"/>
        <w:rPr>
          <w:rFonts w:ascii="Times New Roman" w:hAnsi="Times New Roman" w:cs="Times New Roman"/>
          <w:sz w:val="20"/>
          <w:szCs w:val="20"/>
        </w:rPr>
      </w:pPr>
      <w:r w:rsidRPr="00833869">
        <w:rPr>
          <w:rFonts w:ascii="Times New Roman" w:hAnsi="Times New Roman" w:cs="Times New Roman"/>
          <w:sz w:val="20"/>
          <w:szCs w:val="20"/>
          <w:vertAlign w:val="superscript"/>
        </w:rPr>
        <w:footnoteRef/>
      </w:r>
      <w:r w:rsidR="00714819" w:rsidRPr="00833869">
        <w:rPr>
          <w:rFonts w:ascii="Times New Roman" w:hAnsi="Times New Roman" w:cs="Times New Roman"/>
          <w:color w:val="222222"/>
          <w:sz w:val="20"/>
          <w:szCs w:val="20"/>
        </w:rPr>
        <w:t>Ibid.</w:t>
      </w:r>
    </w:p>
  </w:footnote>
  <w:footnote w:id="11">
    <w:p w:rsidR="00035D8D" w:rsidRPr="00833869" w:rsidRDefault="00B434B0" w:rsidP="00833869">
      <w:pPr>
        <w:spacing w:line="360" w:lineRule="auto"/>
        <w:ind w:left="360" w:hanging="360"/>
        <w:contextualSpacing/>
        <w:jc w:val="both"/>
        <w:rPr>
          <w:rFonts w:ascii="Times New Roman" w:hAnsi="Times New Roman" w:cs="Times New Roman"/>
          <w:sz w:val="20"/>
          <w:szCs w:val="20"/>
        </w:rPr>
      </w:pPr>
      <w:r w:rsidRPr="00833869">
        <w:rPr>
          <w:rFonts w:ascii="Times New Roman" w:hAnsi="Times New Roman" w:cs="Times New Roman"/>
          <w:sz w:val="20"/>
          <w:szCs w:val="20"/>
          <w:vertAlign w:val="superscript"/>
        </w:rPr>
        <w:footnoteRef/>
      </w:r>
      <w:r w:rsidR="00714819" w:rsidRPr="00833869">
        <w:rPr>
          <w:rFonts w:ascii="Times New Roman" w:hAnsi="Times New Roman" w:cs="Times New Roman"/>
          <w:sz w:val="20"/>
          <w:szCs w:val="20"/>
        </w:rPr>
        <w:t>Yar, M. (2001). Recognition and the Politics of Human (e) Desire. </w:t>
      </w:r>
      <w:r w:rsidR="00714819" w:rsidRPr="00833869">
        <w:rPr>
          <w:rFonts w:ascii="Times New Roman" w:hAnsi="Times New Roman" w:cs="Times New Roman"/>
          <w:i/>
          <w:iCs/>
          <w:sz w:val="20"/>
          <w:szCs w:val="20"/>
        </w:rPr>
        <w:t>Theory, Culture &amp; Society</w:t>
      </w:r>
      <w:r w:rsidR="00714819" w:rsidRPr="00833869">
        <w:rPr>
          <w:rFonts w:ascii="Times New Roman" w:hAnsi="Times New Roman" w:cs="Times New Roman"/>
          <w:sz w:val="20"/>
          <w:szCs w:val="20"/>
        </w:rPr>
        <w:t>, </w:t>
      </w:r>
      <w:r w:rsidR="00714819" w:rsidRPr="00833869">
        <w:rPr>
          <w:rFonts w:ascii="Times New Roman" w:hAnsi="Times New Roman" w:cs="Times New Roman"/>
          <w:i/>
          <w:iCs/>
          <w:sz w:val="20"/>
          <w:szCs w:val="20"/>
        </w:rPr>
        <w:t>18</w:t>
      </w:r>
      <w:r w:rsidR="00714819" w:rsidRPr="00833869">
        <w:rPr>
          <w:rFonts w:ascii="Times New Roman" w:hAnsi="Times New Roman" w:cs="Times New Roman"/>
          <w:sz w:val="20"/>
          <w:szCs w:val="20"/>
        </w:rPr>
        <w:t>(2-3), 57-76.</w:t>
      </w:r>
    </w:p>
  </w:footnote>
  <w:footnote w:id="12">
    <w:p w:rsidR="00035D8D" w:rsidRPr="00833869" w:rsidRDefault="00B434B0" w:rsidP="00833869">
      <w:pPr>
        <w:spacing w:line="360" w:lineRule="auto"/>
        <w:rPr>
          <w:rFonts w:ascii="Times New Roman" w:hAnsi="Times New Roman" w:cs="Times New Roman"/>
          <w:sz w:val="20"/>
          <w:szCs w:val="20"/>
        </w:rPr>
      </w:pPr>
      <w:r w:rsidRPr="00833869">
        <w:rPr>
          <w:rFonts w:ascii="Times New Roman" w:hAnsi="Times New Roman" w:cs="Times New Roman"/>
          <w:sz w:val="20"/>
          <w:szCs w:val="20"/>
          <w:vertAlign w:val="superscript"/>
        </w:rPr>
        <w:footnoteRef/>
      </w:r>
      <w:r w:rsidR="00714819" w:rsidRPr="00833869">
        <w:rPr>
          <w:rFonts w:ascii="Times New Roman" w:hAnsi="Times New Roman" w:cs="Times New Roman"/>
          <w:sz w:val="20"/>
          <w:szCs w:val="20"/>
        </w:rPr>
        <w:t>Herwitz, D. (2000). Francis Fukuyama and the end of history. </w:t>
      </w:r>
      <w:r w:rsidR="00714819" w:rsidRPr="00833869">
        <w:rPr>
          <w:rFonts w:ascii="Times New Roman" w:hAnsi="Times New Roman" w:cs="Times New Roman"/>
          <w:i/>
          <w:iCs/>
          <w:sz w:val="20"/>
          <w:szCs w:val="20"/>
        </w:rPr>
        <w:t>South African journal of philosophy</w:t>
      </w:r>
      <w:r w:rsidR="00714819" w:rsidRPr="00833869">
        <w:rPr>
          <w:rFonts w:ascii="Times New Roman" w:hAnsi="Times New Roman" w:cs="Times New Roman"/>
          <w:sz w:val="20"/>
          <w:szCs w:val="20"/>
        </w:rPr>
        <w:t>, </w:t>
      </w:r>
      <w:r w:rsidR="00714819" w:rsidRPr="00833869">
        <w:rPr>
          <w:rFonts w:ascii="Times New Roman" w:hAnsi="Times New Roman" w:cs="Times New Roman"/>
          <w:i/>
          <w:iCs/>
          <w:sz w:val="20"/>
          <w:szCs w:val="20"/>
        </w:rPr>
        <w:t>19</w:t>
      </w:r>
      <w:r w:rsidR="00714819" w:rsidRPr="00833869">
        <w:rPr>
          <w:rFonts w:ascii="Times New Roman" w:hAnsi="Times New Roman" w:cs="Times New Roman"/>
          <w:sz w:val="20"/>
          <w:szCs w:val="20"/>
        </w:rPr>
        <w:t>(3), 222-234.</w:t>
      </w:r>
    </w:p>
  </w:footnote>
  <w:footnote w:id="13">
    <w:p w:rsidR="00035D8D" w:rsidRPr="00833869" w:rsidRDefault="00B434B0" w:rsidP="00833869">
      <w:pPr>
        <w:spacing w:line="360" w:lineRule="auto"/>
        <w:rPr>
          <w:rFonts w:ascii="Times New Roman" w:hAnsi="Times New Roman" w:cs="Times New Roman"/>
          <w:sz w:val="20"/>
          <w:szCs w:val="20"/>
        </w:rPr>
      </w:pPr>
      <w:r w:rsidRPr="00833869">
        <w:rPr>
          <w:rFonts w:ascii="Times New Roman" w:hAnsi="Times New Roman" w:cs="Times New Roman"/>
          <w:sz w:val="20"/>
          <w:szCs w:val="20"/>
          <w:vertAlign w:val="superscript"/>
        </w:rPr>
        <w:footnoteRef/>
      </w:r>
      <w:r w:rsidRPr="00833869">
        <w:rPr>
          <w:rFonts w:ascii="Times New Roman" w:hAnsi="Times New Roman" w:cs="Times New Roman"/>
          <w:sz w:val="20"/>
          <w:szCs w:val="20"/>
        </w:rPr>
        <w:t>What Exactly Is a 'Liberal'?. (2021). Retrieved 31 March 2021, from https://www.merriam-webster.com/words-at-play/liberal-meaning-origin-history</w:t>
      </w:r>
    </w:p>
  </w:footnote>
  <w:footnote w:id="14">
    <w:p w:rsidR="00005BE7" w:rsidRPr="00833869" w:rsidRDefault="00B434B0" w:rsidP="00833869">
      <w:pPr>
        <w:spacing w:line="360" w:lineRule="auto"/>
        <w:ind w:left="360" w:hanging="360"/>
        <w:contextualSpacing/>
        <w:jc w:val="both"/>
        <w:rPr>
          <w:rFonts w:ascii="Times New Roman" w:hAnsi="Times New Roman" w:cs="Times New Roman"/>
          <w:sz w:val="20"/>
          <w:szCs w:val="20"/>
        </w:rPr>
      </w:pPr>
      <w:r w:rsidRPr="00833869">
        <w:rPr>
          <w:rFonts w:ascii="Times New Roman" w:hAnsi="Times New Roman" w:cs="Times New Roman"/>
          <w:sz w:val="20"/>
          <w:szCs w:val="20"/>
          <w:vertAlign w:val="superscript"/>
        </w:rPr>
        <w:footnoteRef/>
      </w:r>
      <w:r w:rsidR="00005BE7" w:rsidRPr="00833869">
        <w:rPr>
          <w:rFonts w:ascii="Times New Roman" w:hAnsi="Times New Roman" w:cs="Times New Roman"/>
          <w:sz w:val="20"/>
          <w:szCs w:val="20"/>
        </w:rPr>
        <w:t>Kanazawa, Satoshi (2010). "Why Liberals and Atheists Are More Intelligent" (PDF). </w:t>
      </w:r>
    </w:p>
    <w:p w:rsidR="00035D8D" w:rsidRPr="00005BE7" w:rsidRDefault="00005BE7" w:rsidP="00833869">
      <w:pPr>
        <w:spacing w:line="360" w:lineRule="auto"/>
        <w:ind w:left="360" w:hanging="360"/>
        <w:contextualSpacing/>
        <w:jc w:val="both"/>
        <w:rPr>
          <w:rFonts w:ascii="Times New Roman" w:eastAsia="Calibri" w:hAnsi="Times New Roman" w:cs="Times New Roman"/>
          <w:sz w:val="24"/>
          <w:szCs w:val="24"/>
          <w:lang w:bidi="ar-SA"/>
        </w:rPr>
      </w:pPr>
      <w:r w:rsidRPr="00833869">
        <w:rPr>
          <w:rFonts w:ascii="Times New Roman" w:hAnsi="Times New Roman" w:cs="Times New Roman"/>
          <w:i/>
          <w:iCs/>
          <w:sz w:val="20"/>
          <w:szCs w:val="20"/>
        </w:rPr>
        <w:t>Social Psychology Quarterly</w:t>
      </w:r>
      <w:r w:rsidRPr="00833869">
        <w:rPr>
          <w:rFonts w:ascii="Times New Roman" w:hAnsi="Times New Roman" w:cs="Times New Roman"/>
          <w:sz w:val="20"/>
          <w:szCs w:val="20"/>
        </w:rPr>
        <w:t>. </w:t>
      </w:r>
      <w:r w:rsidRPr="00833869">
        <w:rPr>
          <w:rFonts w:ascii="Times New Roman" w:hAnsi="Times New Roman" w:cs="Times New Roman"/>
          <w:b/>
          <w:bCs/>
          <w:sz w:val="20"/>
          <w:szCs w:val="20"/>
        </w:rPr>
        <w:t>73</w:t>
      </w:r>
      <w:r w:rsidRPr="00833869">
        <w:rPr>
          <w:rFonts w:ascii="Times New Roman" w:hAnsi="Times New Roman" w:cs="Times New Roman"/>
          <w:sz w:val="20"/>
          <w:szCs w:val="20"/>
        </w:rPr>
        <w:t> (1): 33–57. Doi: 10.1177/0190272510361602</w:t>
      </w:r>
    </w:p>
  </w:footnote>
  <w:footnote w:id="15">
    <w:p w:rsidR="00035D8D" w:rsidRPr="00067261" w:rsidRDefault="00B434B0" w:rsidP="00833869">
      <w:pPr>
        <w:spacing w:line="360" w:lineRule="auto"/>
        <w:rPr>
          <w:rFonts w:ascii="Times New Roman" w:hAnsi="Times New Roman" w:cs="Times New Roman"/>
          <w:sz w:val="20"/>
          <w:szCs w:val="20"/>
        </w:rPr>
      </w:pPr>
      <w:r w:rsidRPr="00067261">
        <w:rPr>
          <w:rFonts w:ascii="Times New Roman" w:hAnsi="Times New Roman" w:cs="Times New Roman"/>
          <w:sz w:val="20"/>
          <w:szCs w:val="20"/>
          <w:vertAlign w:val="superscript"/>
        </w:rPr>
        <w:footnoteRef/>
      </w:r>
      <w:r w:rsidRPr="00067261">
        <w:rPr>
          <w:rFonts w:ascii="Times New Roman" w:hAnsi="Times New Roman" w:cs="Times New Roman"/>
          <w:sz w:val="20"/>
          <w:szCs w:val="20"/>
        </w:rPr>
        <w:t>ibid</w:t>
      </w:r>
      <w:r w:rsidRPr="00067261">
        <w:rPr>
          <w:rFonts w:ascii="Times New Roman" w:eastAsia="Times New Roman" w:hAnsi="Times New Roman" w:cs="Times New Roman"/>
          <w:sz w:val="20"/>
          <w:szCs w:val="20"/>
        </w:rPr>
        <w:t>.</w:t>
      </w:r>
    </w:p>
  </w:footnote>
  <w:footnote w:id="16">
    <w:p w:rsidR="00035D8D" w:rsidRPr="00067261" w:rsidRDefault="00B434B0" w:rsidP="00067261">
      <w:pPr>
        <w:spacing w:line="360" w:lineRule="auto"/>
        <w:rPr>
          <w:rFonts w:ascii="Times New Roman" w:hAnsi="Times New Roman" w:cs="Times New Roman"/>
          <w:sz w:val="20"/>
          <w:szCs w:val="20"/>
        </w:rPr>
      </w:pPr>
      <w:r w:rsidRPr="00067261">
        <w:rPr>
          <w:rFonts w:ascii="Times New Roman" w:hAnsi="Times New Roman" w:cs="Times New Roman"/>
          <w:sz w:val="20"/>
          <w:szCs w:val="20"/>
          <w:vertAlign w:val="superscript"/>
        </w:rPr>
        <w:footnoteRef/>
      </w:r>
      <w:r w:rsidRPr="00067261">
        <w:rPr>
          <w:rFonts w:ascii="Times New Roman" w:eastAsia="Times New Roman" w:hAnsi="Times New Roman" w:cs="Times New Roman"/>
          <w:sz w:val="20"/>
          <w:szCs w:val="20"/>
        </w:rPr>
        <w:t xml:space="preserve">Shklar, “Liberalism,” 3. On liberty as “normatively basic” see Gerald Gaus and Shane Courtland, “Liberalism,” </w:t>
      </w:r>
      <w:r w:rsidRPr="00067261">
        <w:rPr>
          <w:rFonts w:ascii="Times New Roman" w:eastAsia="Times New Roman" w:hAnsi="Times New Roman" w:cs="Times New Roman"/>
          <w:i/>
          <w:sz w:val="20"/>
          <w:szCs w:val="20"/>
        </w:rPr>
        <w:t>The Stanford Encyclopaedia of Philosophy</w:t>
      </w:r>
      <w:r w:rsidRPr="00067261">
        <w:rPr>
          <w:rFonts w:ascii="Times New Roman" w:eastAsia="Times New Roman" w:hAnsi="Times New Roman" w:cs="Times New Roman"/>
          <w:sz w:val="20"/>
          <w:szCs w:val="20"/>
        </w:rPr>
        <w:t>, ed.EdwardZalta.</w:t>
      </w:r>
      <w:r w:rsidR="00067261">
        <w:rPr>
          <w:rFonts w:ascii="Times New Roman" w:eastAsia="Times New Roman" w:hAnsi="Times New Roman" w:cs="Times New Roman"/>
          <w:sz w:val="20"/>
          <w:szCs w:val="20"/>
        </w:rPr>
        <w:t xml:space="preserve"> Retrieved 27 March 2021. </w:t>
      </w:r>
    </w:p>
  </w:footnote>
  <w:footnote w:id="17">
    <w:p w:rsidR="00035D8D" w:rsidRPr="00067261" w:rsidRDefault="00B434B0" w:rsidP="00067261">
      <w:pPr>
        <w:spacing w:line="360" w:lineRule="auto"/>
        <w:rPr>
          <w:rFonts w:ascii="Times New Roman" w:hAnsi="Times New Roman" w:cs="Times New Roman"/>
          <w:sz w:val="20"/>
          <w:szCs w:val="20"/>
        </w:rPr>
      </w:pPr>
      <w:r w:rsidRPr="00067261">
        <w:rPr>
          <w:rFonts w:ascii="Times New Roman" w:hAnsi="Times New Roman" w:cs="Times New Roman"/>
          <w:sz w:val="20"/>
          <w:szCs w:val="20"/>
          <w:vertAlign w:val="superscript"/>
        </w:rPr>
        <w:footnoteRef/>
      </w:r>
      <w:r w:rsidRPr="00067261">
        <w:rPr>
          <w:rFonts w:ascii="Times New Roman" w:hAnsi="Times New Roman" w:cs="Times New Roman"/>
          <w:sz w:val="20"/>
          <w:szCs w:val="20"/>
        </w:rPr>
        <w:t xml:space="preserve">Jeremy Waldron, “Theoretical Foundations of Liberalism,” </w:t>
      </w:r>
      <w:r w:rsidRPr="00067261">
        <w:rPr>
          <w:rFonts w:ascii="Times New Roman" w:hAnsi="Times New Roman" w:cs="Times New Roman"/>
          <w:i/>
          <w:sz w:val="20"/>
          <w:szCs w:val="20"/>
        </w:rPr>
        <w:t xml:space="preserve">Philosophical Quarterly </w:t>
      </w:r>
      <w:r w:rsidRPr="00067261">
        <w:rPr>
          <w:rFonts w:ascii="Times New Roman" w:hAnsi="Times New Roman" w:cs="Times New Roman"/>
          <w:sz w:val="20"/>
          <w:szCs w:val="20"/>
        </w:rPr>
        <w:t>37 (1987): 131, 127, 140</w:t>
      </w:r>
    </w:p>
  </w:footnote>
  <w:footnote w:id="18">
    <w:p w:rsidR="00035D8D" w:rsidRPr="00067261" w:rsidRDefault="00B434B0" w:rsidP="00067261">
      <w:pPr>
        <w:spacing w:line="360" w:lineRule="auto"/>
        <w:rPr>
          <w:rFonts w:ascii="Times New Roman" w:hAnsi="Times New Roman" w:cs="Times New Roman"/>
          <w:sz w:val="20"/>
          <w:szCs w:val="20"/>
        </w:rPr>
      </w:pPr>
      <w:r w:rsidRPr="00067261">
        <w:rPr>
          <w:rFonts w:ascii="Times New Roman" w:hAnsi="Times New Roman" w:cs="Times New Roman"/>
          <w:sz w:val="20"/>
          <w:szCs w:val="20"/>
          <w:vertAlign w:val="superscript"/>
        </w:rPr>
        <w:footnoteRef/>
      </w:r>
      <w:r w:rsidRPr="00067261">
        <w:rPr>
          <w:rFonts w:ascii="Times New Roman" w:eastAsia="Times New Roman" w:hAnsi="Times New Roman" w:cs="Times New Roman"/>
          <w:sz w:val="20"/>
          <w:szCs w:val="20"/>
        </w:rPr>
        <w:t xml:space="preserve">Ronald Dworkin, “Liberalism,” in Dworkin, </w:t>
      </w:r>
      <w:r w:rsidRPr="00067261">
        <w:rPr>
          <w:rFonts w:ascii="Times New Roman" w:eastAsia="Times New Roman" w:hAnsi="Times New Roman" w:cs="Times New Roman"/>
          <w:i/>
          <w:sz w:val="20"/>
          <w:szCs w:val="20"/>
        </w:rPr>
        <w:t>A Matter of Principle</w:t>
      </w:r>
      <w:r w:rsidRPr="00067261">
        <w:rPr>
          <w:rFonts w:ascii="Times New Roman" w:eastAsia="Times New Roman" w:hAnsi="Times New Roman" w:cs="Times New Roman"/>
          <w:sz w:val="20"/>
          <w:szCs w:val="20"/>
        </w:rPr>
        <w:t xml:space="preserve"> (Oxford: Clarendon, 1985), 183</w:t>
      </w:r>
    </w:p>
  </w:footnote>
  <w:footnote w:id="19">
    <w:p w:rsidR="00035D8D" w:rsidRPr="00067261" w:rsidRDefault="00B434B0" w:rsidP="00067261">
      <w:pPr>
        <w:spacing w:line="360" w:lineRule="auto"/>
        <w:ind w:left="360" w:hanging="360"/>
        <w:contextualSpacing/>
        <w:jc w:val="both"/>
        <w:rPr>
          <w:rFonts w:ascii="Times New Roman" w:eastAsia="Calibri" w:hAnsi="Times New Roman" w:cs="Times New Roman"/>
          <w:sz w:val="20"/>
          <w:szCs w:val="20"/>
          <w:lang w:bidi="ar-SA"/>
        </w:rPr>
      </w:pPr>
      <w:r w:rsidRPr="00067261">
        <w:rPr>
          <w:rFonts w:ascii="Times New Roman" w:hAnsi="Times New Roman" w:cs="Times New Roman"/>
          <w:sz w:val="20"/>
          <w:szCs w:val="20"/>
          <w:vertAlign w:val="superscript"/>
        </w:rPr>
        <w:footnoteRef/>
      </w:r>
      <w:r w:rsidR="007165B4" w:rsidRPr="00067261">
        <w:rPr>
          <w:rFonts w:ascii="Times New Roman" w:eastAsia="Calibri" w:hAnsi="Times New Roman" w:cs="Times New Roman"/>
          <w:i/>
          <w:iCs/>
          <w:sz w:val="20"/>
          <w:szCs w:val="20"/>
          <w:lang w:bidi="ar-SA"/>
        </w:rPr>
        <w:t>Liberalism - By Branch / Doctrine - The Basics of Philosophy</w:t>
      </w:r>
      <w:r w:rsidR="007165B4" w:rsidRPr="00067261">
        <w:rPr>
          <w:rFonts w:ascii="Times New Roman" w:eastAsia="Calibri" w:hAnsi="Times New Roman" w:cs="Times New Roman"/>
          <w:sz w:val="20"/>
          <w:szCs w:val="20"/>
          <w:lang w:bidi="ar-SA"/>
        </w:rPr>
        <w:t>. (2019). </w:t>
      </w:r>
      <w:r w:rsidR="007165B4" w:rsidRPr="00067261">
        <w:rPr>
          <w:rFonts w:ascii="Times New Roman" w:eastAsia="Calibri" w:hAnsi="Times New Roman" w:cs="Times New Roman"/>
          <w:i/>
          <w:iCs/>
          <w:sz w:val="20"/>
          <w:szCs w:val="20"/>
          <w:lang w:bidi="ar-SA"/>
        </w:rPr>
        <w:t>Philosophybasics.com</w:t>
      </w:r>
      <w:r w:rsidR="007165B4" w:rsidRPr="00067261">
        <w:rPr>
          <w:rFonts w:ascii="Times New Roman" w:eastAsia="Calibri" w:hAnsi="Times New Roman" w:cs="Times New Roman"/>
          <w:sz w:val="20"/>
          <w:szCs w:val="20"/>
          <w:lang w:bidi="ar-SA"/>
        </w:rPr>
        <w:t>. Retrieved 18 May 2019, from https://www.philosophybasics.com/branch_liberalism.html</w:t>
      </w:r>
    </w:p>
  </w:footnote>
  <w:footnote w:id="20">
    <w:p w:rsidR="00035D8D" w:rsidRPr="00067261" w:rsidRDefault="00B434B0" w:rsidP="00067261">
      <w:pPr>
        <w:spacing w:line="360" w:lineRule="auto"/>
        <w:ind w:left="360" w:hanging="360"/>
        <w:jc w:val="both"/>
        <w:rPr>
          <w:rFonts w:ascii="Times New Roman" w:eastAsia="Times New Roman" w:hAnsi="Times New Roman" w:cs="Times New Roman"/>
          <w:color w:val="000000"/>
          <w:sz w:val="20"/>
          <w:szCs w:val="20"/>
          <w:lang w:bidi="ar-SA"/>
        </w:rPr>
      </w:pPr>
      <w:r w:rsidRPr="00067261">
        <w:rPr>
          <w:rFonts w:ascii="Times New Roman" w:hAnsi="Times New Roman" w:cs="Times New Roman"/>
          <w:sz w:val="20"/>
          <w:szCs w:val="20"/>
          <w:vertAlign w:val="superscript"/>
        </w:rPr>
        <w:footnoteRef/>
      </w:r>
      <w:r w:rsidR="007165B4" w:rsidRPr="00067261">
        <w:rPr>
          <w:rFonts w:ascii="Times New Roman" w:eastAsia="Times New Roman" w:hAnsi="Times New Roman" w:cs="Times New Roman"/>
          <w:color w:val="000000"/>
          <w:sz w:val="20"/>
          <w:szCs w:val="20"/>
          <w:lang w:bidi="ar-SA"/>
        </w:rPr>
        <w:t>Klein, D. B. (2014, February 13). None. Retrieved May 22, 2019, from The Atlantic website: https://www.theatlantic.com/politics/archive/2014/02/the-origin-of-liberalism/283780/</w:t>
      </w:r>
    </w:p>
  </w:footnote>
  <w:footnote w:id="21">
    <w:p w:rsidR="00035D8D" w:rsidRPr="0046730E" w:rsidRDefault="00B434B0" w:rsidP="00067261">
      <w:pPr>
        <w:spacing w:line="360" w:lineRule="auto"/>
        <w:ind w:left="360" w:hanging="360"/>
        <w:contextualSpacing/>
        <w:jc w:val="both"/>
        <w:rPr>
          <w:rFonts w:ascii="Times New Roman" w:eastAsia="Calibri" w:hAnsi="Times New Roman" w:cs="Times New Roman"/>
          <w:color w:val="222222"/>
          <w:sz w:val="24"/>
          <w:szCs w:val="24"/>
          <w:shd w:val="clear" w:color="auto" w:fill="FFFFFF"/>
          <w:lang w:bidi="ar-SA"/>
        </w:rPr>
      </w:pPr>
      <w:r w:rsidRPr="00067261">
        <w:rPr>
          <w:rFonts w:ascii="Times New Roman" w:hAnsi="Times New Roman" w:cs="Times New Roman"/>
          <w:sz w:val="20"/>
          <w:szCs w:val="20"/>
          <w:vertAlign w:val="superscript"/>
        </w:rPr>
        <w:footnoteRef/>
      </w:r>
      <w:r w:rsidR="0046730E" w:rsidRPr="00067261">
        <w:rPr>
          <w:rFonts w:ascii="Times New Roman" w:eastAsia="Calibri" w:hAnsi="Times New Roman" w:cs="Times New Roman"/>
          <w:color w:val="222222"/>
          <w:sz w:val="20"/>
          <w:szCs w:val="20"/>
          <w:shd w:val="clear" w:color="auto" w:fill="FFFFFF"/>
          <w:lang w:bidi="ar-SA"/>
        </w:rPr>
        <w:t>Fowler, S. (1995). </w:t>
      </w:r>
      <w:r w:rsidR="0046730E" w:rsidRPr="00067261">
        <w:rPr>
          <w:rFonts w:ascii="Times New Roman" w:eastAsia="Calibri" w:hAnsi="Times New Roman" w:cs="Times New Roman"/>
          <w:i/>
          <w:iCs/>
          <w:color w:val="222222"/>
          <w:sz w:val="20"/>
          <w:szCs w:val="20"/>
          <w:shd w:val="clear" w:color="auto" w:fill="FFFFFF"/>
          <w:lang w:bidi="ar-SA"/>
        </w:rPr>
        <w:t>The oppression and liberation of modern Africa: Examining the powers shaping today's Africa</w:t>
      </w:r>
      <w:r w:rsidR="0046730E" w:rsidRPr="00067261">
        <w:rPr>
          <w:rFonts w:ascii="Times New Roman" w:eastAsia="Calibri" w:hAnsi="Times New Roman" w:cs="Times New Roman"/>
          <w:color w:val="222222"/>
          <w:sz w:val="20"/>
          <w:szCs w:val="20"/>
          <w:shd w:val="clear" w:color="auto" w:fill="FFFFFF"/>
          <w:lang w:bidi="ar-SA"/>
        </w:rPr>
        <w:t> (Vol. 63). Potchefstroomse Universiteit virChristelikeHoërOnderwys.</w:t>
      </w:r>
    </w:p>
  </w:footnote>
  <w:footnote w:id="22">
    <w:p w:rsidR="00035D8D" w:rsidRPr="00067261" w:rsidRDefault="00B434B0">
      <w:pPr>
        <w:spacing w:line="240" w:lineRule="auto"/>
        <w:rPr>
          <w:rFonts w:ascii="Times New Roman" w:hAnsi="Times New Roman" w:cs="Times New Roman"/>
          <w:sz w:val="20"/>
          <w:szCs w:val="20"/>
        </w:rPr>
      </w:pPr>
      <w:r w:rsidRPr="00067261">
        <w:rPr>
          <w:rFonts w:ascii="Times New Roman" w:hAnsi="Times New Roman" w:cs="Times New Roman"/>
          <w:sz w:val="20"/>
          <w:szCs w:val="20"/>
          <w:vertAlign w:val="superscript"/>
        </w:rPr>
        <w:footnoteRef/>
      </w:r>
      <w:r w:rsidRPr="00067261">
        <w:rPr>
          <w:rFonts w:ascii="Times New Roman" w:hAnsi="Times New Roman" w:cs="Times New Roman"/>
          <w:sz w:val="20"/>
          <w:szCs w:val="20"/>
        </w:rPr>
        <w:t>ibid</w:t>
      </w:r>
    </w:p>
  </w:footnote>
  <w:footnote w:id="23">
    <w:p w:rsidR="00035D8D" w:rsidRPr="00067261" w:rsidRDefault="00B434B0">
      <w:pPr>
        <w:spacing w:line="240" w:lineRule="auto"/>
        <w:rPr>
          <w:rFonts w:ascii="Times New Roman" w:hAnsi="Times New Roman" w:cs="Times New Roman"/>
          <w:sz w:val="20"/>
          <w:szCs w:val="20"/>
        </w:rPr>
      </w:pPr>
      <w:r w:rsidRPr="00067261">
        <w:rPr>
          <w:rFonts w:ascii="Times New Roman" w:hAnsi="Times New Roman" w:cs="Times New Roman"/>
          <w:sz w:val="20"/>
          <w:szCs w:val="20"/>
          <w:vertAlign w:val="superscript"/>
        </w:rPr>
        <w:footnoteRef/>
      </w:r>
      <w:r w:rsidRPr="00067261">
        <w:rPr>
          <w:rFonts w:ascii="Times New Roman" w:hAnsi="Times New Roman" w:cs="Times New Roman"/>
          <w:sz w:val="20"/>
          <w:szCs w:val="20"/>
        </w:rPr>
        <w:t xml:space="preserve">Fukuyama, F. (1989). The end of history?. </w:t>
      </w:r>
      <w:r w:rsidRPr="00067261">
        <w:rPr>
          <w:rFonts w:ascii="Times New Roman" w:hAnsi="Times New Roman" w:cs="Times New Roman"/>
          <w:i/>
          <w:sz w:val="20"/>
          <w:szCs w:val="20"/>
        </w:rPr>
        <w:t>The national interest</w:t>
      </w:r>
      <w:r w:rsidRPr="00067261">
        <w:rPr>
          <w:rFonts w:ascii="Times New Roman" w:hAnsi="Times New Roman" w:cs="Times New Roman"/>
          <w:sz w:val="20"/>
          <w:szCs w:val="20"/>
        </w:rPr>
        <w:t>, (16), 3-18.</w:t>
      </w:r>
    </w:p>
  </w:footnote>
  <w:footnote w:id="24">
    <w:p w:rsidR="00035D8D" w:rsidRPr="00067261" w:rsidRDefault="00B434B0">
      <w:pPr>
        <w:spacing w:line="240" w:lineRule="auto"/>
        <w:rPr>
          <w:rFonts w:ascii="Times New Roman" w:hAnsi="Times New Roman" w:cs="Times New Roman"/>
          <w:color w:val="222222"/>
          <w:sz w:val="20"/>
          <w:szCs w:val="20"/>
          <w:highlight w:val="white"/>
        </w:rPr>
      </w:pPr>
      <w:r w:rsidRPr="00067261">
        <w:rPr>
          <w:rFonts w:ascii="Times New Roman" w:hAnsi="Times New Roman" w:cs="Times New Roman"/>
          <w:sz w:val="20"/>
          <w:szCs w:val="20"/>
          <w:vertAlign w:val="superscript"/>
        </w:rPr>
        <w:footnoteRef/>
      </w:r>
      <w:r w:rsidRPr="00067261">
        <w:rPr>
          <w:rFonts w:ascii="Times New Roman" w:hAnsi="Times New Roman" w:cs="Times New Roman"/>
          <w:color w:val="222222"/>
          <w:sz w:val="20"/>
          <w:szCs w:val="20"/>
          <w:highlight w:val="white"/>
        </w:rPr>
        <w:t>ibid.</w:t>
      </w:r>
    </w:p>
  </w:footnote>
  <w:footnote w:id="25">
    <w:p w:rsidR="00035D8D" w:rsidRDefault="00B434B0" w:rsidP="00D52728">
      <w:pPr>
        <w:spacing w:line="360" w:lineRule="auto"/>
        <w:rPr>
          <w:sz w:val="20"/>
          <w:szCs w:val="20"/>
        </w:rPr>
      </w:pPr>
      <w:r w:rsidRPr="00067261">
        <w:rPr>
          <w:rFonts w:ascii="Times New Roman" w:hAnsi="Times New Roman" w:cs="Times New Roman"/>
          <w:sz w:val="20"/>
          <w:szCs w:val="20"/>
          <w:vertAlign w:val="superscript"/>
        </w:rPr>
        <w:footnoteRef/>
      </w:r>
      <w:r w:rsidRPr="00067261">
        <w:rPr>
          <w:rFonts w:ascii="Times New Roman" w:hAnsi="Times New Roman" w:cs="Times New Roman"/>
          <w:sz w:val="20"/>
          <w:szCs w:val="20"/>
        </w:rPr>
        <w:t xml:space="preserve">Wuriga, R. (2003). </w:t>
      </w:r>
      <w:r w:rsidRPr="00067261">
        <w:rPr>
          <w:rFonts w:ascii="Times New Roman" w:hAnsi="Times New Roman" w:cs="Times New Roman"/>
          <w:i/>
          <w:sz w:val="20"/>
          <w:szCs w:val="20"/>
        </w:rPr>
        <w:t>Ideology, Virtue and Well-being: A Critical Examination of Francis Fukuyama's Notion of Liberal Democracy</w:t>
      </w:r>
      <w:r w:rsidRPr="00067261">
        <w:rPr>
          <w:rFonts w:ascii="Times New Roman" w:hAnsi="Times New Roman" w:cs="Times New Roman"/>
          <w:sz w:val="20"/>
          <w:szCs w:val="20"/>
        </w:rPr>
        <w:t xml:space="preserve"> (Doctoral dissertation, University of KwaZulu-Natal, Durban).</w:t>
      </w:r>
    </w:p>
  </w:footnote>
  <w:footnote w:id="26">
    <w:p w:rsidR="00035D8D" w:rsidRDefault="00B434B0" w:rsidP="00D52728">
      <w:pPr>
        <w:spacing w:line="360" w:lineRule="auto"/>
        <w:rPr>
          <w:sz w:val="20"/>
          <w:szCs w:val="20"/>
        </w:rPr>
      </w:pPr>
      <w:r>
        <w:rPr>
          <w:vertAlign w:val="superscript"/>
        </w:rPr>
        <w:footnoteRef/>
      </w:r>
      <w:r w:rsidRPr="00D52728">
        <w:rPr>
          <w:rFonts w:ascii="Times New Roman" w:hAnsi="Times New Roman" w:cs="Times New Roman"/>
          <w:sz w:val="20"/>
          <w:szCs w:val="20"/>
        </w:rPr>
        <w:t>Fukuyama, “On the Possibility of Writing a Universal History,” p.24.</w:t>
      </w:r>
    </w:p>
  </w:footnote>
  <w:footnote w:id="27">
    <w:p w:rsidR="00035D8D" w:rsidRPr="00D52728" w:rsidRDefault="00B434B0" w:rsidP="00D52728">
      <w:pPr>
        <w:spacing w:line="360" w:lineRule="auto"/>
        <w:rPr>
          <w:rFonts w:ascii="Times New Roman" w:hAnsi="Times New Roman" w:cs="Times New Roman"/>
          <w:sz w:val="20"/>
          <w:szCs w:val="20"/>
        </w:rPr>
      </w:pPr>
      <w:r w:rsidRPr="00D52728">
        <w:rPr>
          <w:rFonts w:ascii="Times New Roman" w:hAnsi="Times New Roman" w:cs="Times New Roman"/>
          <w:sz w:val="20"/>
          <w:szCs w:val="20"/>
          <w:vertAlign w:val="superscript"/>
        </w:rPr>
        <w:footnoteRef/>
      </w:r>
      <w:r w:rsidRPr="00D52728">
        <w:rPr>
          <w:rFonts w:ascii="Times New Roman" w:hAnsi="Times New Roman" w:cs="Times New Roman"/>
          <w:sz w:val="20"/>
          <w:szCs w:val="20"/>
        </w:rPr>
        <w:t>Ibid. p.23.</w:t>
      </w:r>
    </w:p>
  </w:footnote>
  <w:footnote w:id="28">
    <w:p w:rsidR="00035D8D" w:rsidRPr="00D52728" w:rsidRDefault="00B434B0" w:rsidP="00D52728">
      <w:pPr>
        <w:spacing w:line="360" w:lineRule="auto"/>
        <w:rPr>
          <w:rFonts w:ascii="Times New Roman" w:hAnsi="Times New Roman" w:cs="Times New Roman"/>
          <w:sz w:val="20"/>
          <w:szCs w:val="20"/>
        </w:rPr>
      </w:pPr>
      <w:r w:rsidRPr="00D52728">
        <w:rPr>
          <w:rFonts w:ascii="Times New Roman" w:hAnsi="Times New Roman" w:cs="Times New Roman"/>
          <w:sz w:val="20"/>
          <w:szCs w:val="20"/>
          <w:vertAlign w:val="superscript"/>
        </w:rPr>
        <w:footnoteRef/>
      </w:r>
      <w:r w:rsidRPr="00D52728">
        <w:rPr>
          <w:rFonts w:ascii="Times New Roman" w:hAnsi="Times New Roman" w:cs="Times New Roman"/>
          <w:sz w:val="20"/>
          <w:szCs w:val="20"/>
        </w:rPr>
        <w:t>Williams, Sullivan, and Matthews</w:t>
      </w:r>
      <w:r w:rsidRPr="00D52728">
        <w:rPr>
          <w:rFonts w:ascii="Times New Roman" w:hAnsi="Times New Roman" w:cs="Times New Roman"/>
          <w:i/>
          <w:sz w:val="20"/>
          <w:szCs w:val="20"/>
        </w:rPr>
        <w:t>, Francis Fukuyama and the End of History</w:t>
      </w:r>
      <w:r w:rsidRPr="00D52728">
        <w:rPr>
          <w:rFonts w:ascii="Times New Roman" w:hAnsi="Times New Roman" w:cs="Times New Roman"/>
          <w:sz w:val="20"/>
          <w:szCs w:val="20"/>
        </w:rPr>
        <w:t>, 34.</w:t>
      </w:r>
    </w:p>
  </w:footnote>
  <w:footnote w:id="29">
    <w:p w:rsidR="00035D8D" w:rsidRDefault="00B434B0" w:rsidP="00D52728">
      <w:pPr>
        <w:spacing w:line="360" w:lineRule="auto"/>
        <w:rPr>
          <w:sz w:val="20"/>
          <w:szCs w:val="20"/>
        </w:rPr>
      </w:pPr>
      <w:r w:rsidRPr="00D52728">
        <w:rPr>
          <w:rFonts w:ascii="Times New Roman" w:hAnsi="Times New Roman" w:cs="Times New Roman"/>
          <w:sz w:val="20"/>
          <w:szCs w:val="20"/>
          <w:vertAlign w:val="superscript"/>
        </w:rPr>
        <w:footnoteRef/>
      </w:r>
      <w:r w:rsidRPr="00D52728">
        <w:rPr>
          <w:rFonts w:ascii="Times New Roman" w:eastAsia="Times New Roman" w:hAnsi="Times New Roman" w:cs="Times New Roman"/>
          <w:sz w:val="20"/>
          <w:szCs w:val="20"/>
        </w:rPr>
        <w:t>Fukuyama, “Reflections on the End of History, Five Years On,” 204.</w:t>
      </w:r>
    </w:p>
  </w:footnote>
  <w:footnote w:id="30">
    <w:p w:rsidR="00035D8D" w:rsidRPr="00D52728" w:rsidRDefault="00B434B0" w:rsidP="00D52728">
      <w:pPr>
        <w:spacing w:line="360" w:lineRule="auto"/>
        <w:rPr>
          <w:rFonts w:ascii="Times New Roman" w:hAnsi="Times New Roman" w:cs="Times New Roman"/>
          <w:sz w:val="20"/>
          <w:szCs w:val="20"/>
        </w:rPr>
      </w:pPr>
      <w:r w:rsidRPr="00D52728">
        <w:rPr>
          <w:rFonts w:ascii="Times New Roman" w:hAnsi="Times New Roman" w:cs="Times New Roman"/>
          <w:sz w:val="20"/>
          <w:szCs w:val="20"/>
          <w:vertAlign w:val="superscript"/>
        </w:rPr>
        <w:footnoteRef/>
      </w:r>
      <w:r w:rsidRPr="00D52728">
        <w:rPr>
          <w:rFonts w:ascii="Times New Roman" w:hAnsi="Times New Roman" w:cs="Times New Roman"/>
          <w:sz w:val="20"/>
          <w:szCs w:val="20"/>
        </w:rPr>
        <w:t>ibid.</w:t>
      </w:r>
    </w:p>
  </w:footnote>
  <w:footnote w:id="31">
    <w:p w:rsidR="00035D8D" w:rsidRPr="00D52728" w:rsidRDefault="00B434B0" w:rsidP="00D52728">
      <w:pPr>
        <w:spacing w:line="360" w:lineRule="auto"/>
        <w:ind w:left="360" w:hanging="360"/>
        <w:contextualSpacing/>
        <w:jc w:val="both"/>
        <w:rPr>
          <w:rFonts w:ascii="Times New Roman" w:eastAsia="Calibri" w:hAnsi="Times New Roman" w:cs="Times New Roman"/>
          <w:sz w:val="20"/>
          <w:szCs w:val="20"/>
          <w:lang w:bidi="ar-SA"/>
        </w:rPr>
      </w:pPr>
      <w:r w:rsidRPr="00D52728">
        <w:rPr>
          <w:rFonts w:ascii="Times New Roman" w:hAnsi="Times New Roman" w:cs="Times New Roman"/>
          <w:sz w:val="20"/>
          <w:szCs w:val="20"/>
          <w:vertAlign w:val="superscript"/>
        </w:rPr>
        <w:footnoteRef/>
      </w:r>
      <w:r w:rsidR="00D52728" w:rsidRPr="00D52728">
        <w:rPr>
          <w:rFonts w:ascii="Times New Roman" w:eastAsia="Calibri" w:hAnsi="Times New Roman" w:cs="Times New Roman"/>
          <w:sz w:val="20"/>
          <w:szCs w:val="20"/>
          <w:lang w:bidi="ar-SA"/>
        </w:rPr>
        <w:t xml:space="preserve">Francis Fukuyama, “On the Possibility of Writing a Universal History,” in </w:t>
      </w:r>
      <w:r w:rsidR="00D52728" w:rsidRPr="00D52728">
        <w:rPr>
          <w:rFonts w:ascii="Times New Roman" w:eastAsia="Calibri" w:hAnsi="Times New Roman" w:cs="Times New Roman"/>
          <w:i/>
          <w:iCs/>
          <w:sz w:val="20"/>
          <w:szCs w:val="20"/>
          <w:lang w:bidi="ar-SA"/>
        </w:rPr>
        <w:t>History and the Idea of Progress</w:t>
      </w:r>
      <w:r w:rsidR="00D52728" w:rsidRPr="00D52728">
        <w:rPr>
          <w:rFonts w:ascii="Times New Roman" w:eastAsia="Calibri" w:hAnsi="Times New Roman" w:cs="Times New Roman"/>
          <w:sz w:val="20"/>
          <w:szCs w:val="20"/>
          <w:lang w:bidi="ar-SA"/>
        </w:rPr>
        <w:t>, ed. Arthur M Melzer, Jerry Weinberger, and M. Richard Zinman (Ithaca: Cornell University Press, 1995), 16. Also noted in Yang (2010).</w:t>
      </w:r>
    </w:p>
  </w:footnote>
  <w:footnote w:id="32">
    <w:p w:rsidR="00035D8D" w:rsidRPr="00D52728" w:rsidRDefault="00B434B0" w:rsidP="00D52728">
      <w:pPr>
        <w:spacing w:line="360" w:lineRule="auto"/>
        <w:ind w:left="360" w:hanging="360"/>
        <w:contextualSpacing/>
        <w:jc w:val="both"/>
        <w:rPr>
          <w:rFonts w:ascii="Times New Roman" w:eastAsia="Calibri" w:hAnsi="Times New Roman" w:cs="Vrinda"/>
          <w:sz w:val="24"/>
          <w:lang w:bidi="ar-SA"/>
        </w:rPr>
      </w:pPr>
      <w:r w:rsidRPr="00D52728">
        <w:rPr>
          <w:rFonts w:ascii="Times New Roman" w:hAnsi="Times New Roman" w:cs="Times New Roman"/>
          <w:sz w:val="20"/>
          <w:szCs w:val="20"/>
          <w:vertAlign w:val="superscript"/>
        </w:rPr>
        <w:footnoteRef/>
      </w:r>
      <w:r w:rsidR="00D52728" w:rsidRPr="00D52728">
        <w:rPr>
          <w:rFonts w:ascii="Times New Roman" w:eastAsia="Calibri" w:hAnsi="Times New Roman" w:cs="Times New Roman"/>
          <w:sz w:val="20"/>
          <w:szCs w:val="20"/>
          <w:lang w:bidi="ar-SA"/>
        </w:rPr>
        <w:t xml:space="preserve">Francis Fukuyama, “The End of History?,” </w:t>
      </w:r>
      <w:r w:rsidR="00D52728" w:rsidRPr="00D52728">
        <w:rPr>
          <w:rFonts w:ascii="Times New Roman" w:eastAsia="Calibri" w:hAnsi="Times New Roman" w:cs="Times New Roman"/>
          <w:i/>
          <w:iCs/>
          <w:sz w:val="20"/>
          <w:szCs w:val="20"/>
          <w:lang w:bidi="ar-SA"/>
        </w:rPr>
        <w:t>The National Interest</w:t>
      </w:r>
      <w:r w:rsidR="00D52728" w:rsidRPr="00D52728">
        <w:rPr>
          <w:rFonts w:ascii="Times New Roman" w:eastAsia="Calibri" w:hAnsi="Times New Roman" w:cs="Times New Roman"/>
          <w:sz w:val="20"/>
          <w:szCs w:val="20"/>
          <w:lang w:bidi="ar-SA"/>
        </w:rPr>
        <w:t xml:space="preserve"> (Summer 1989): 5; also quoted in Williams, Sullivan, and Matthews, </w:t>
      </w:r>
      <w:r w:rsidR="00D52728" w:rsidRPr="00D52728">
        <w:rPr>
          <w:rFonts w:ascii="Times New Roman" w:eastAsia="Calibri" w:hAnsi="Times New Roman" w:cs="Times New Roman"/>
          <w:i/>
          <w:iCs/>
          <w:sz w:val="20"/>
          <w:szCs w:val="20"/>
          <w:lang w:bidi="ar-SA"/>
        </w:rPr>
        <w:t>Francis Fukuyama and the End of History</w:t>
      </w:r>
      <w:r w:rsidR="00D52728" w:rsidRPr="00D52728">
        <w:rPr>
          <w:rFonts w:ascii="Times New Roman" w:eastAsia="Calibri" w:hAnsi="Times New Roman" w:cs="Times New Roman"/>
          <w:sz w:val="20"/>
          <w:szCs w:val="20"/>
          <w:lang w:bidi="ar-SA"/>
        </w:rPr>
        <w:t>, 77-8.</w:t>
      </w:r>
    </w:p>
  </w:footnote>
  <w:footnote w:id="33">
    <w:p w:rsidR="00035D8D" w:rsidRPr="00F4438D" w:rsidRDefault="00B434B0" w:rsidP="00F4438D">
      <w:pPr>
        <w:spacing w:line="360" w:lineRule="auto"/>
        <w:rPr>
          <w:rFonts w:ascii="Times New Roman" w:hAnsi="Times New Roman" w:cs="Times New Roman"/>
          <w:sz w:val="20"/>
          <w:szCs w:val="20"/>
        </w:rPr>
      </w:pPr>
      <w:r w:rsidRPr="00F4438D">
        <w:rPr>
          <w:rFonts w:ascii="Times New Roman" w:hAnsi="Times New Roman" w:cs="Times New Roman"/>
          <w:sz w:val="20"/>
          <w:szCs w:val="20"/>
          <w:vertAlign w:val="superscript"/>
        </w:rPr>
        <w:footnoteRef/>
      </w:r>
      <w:r w:rsidRPr="00F4438D">
        <w:rPr>
          <w:rFonts w:ascii="Times New Roman" w:eastAsia="Times New Roman" w:hAnsi="Times New Roman" w:cs="Times New Roman"/>
          <w:sz w:val="20"/>
          <w:szCs w:val="20"/>
        </w:rPr>
        <w:t xml:space="preserve">Fukuyama, </w:t>
      </w:r>
      <w:r w:rsidRPr="00F4438D">
        <w:rPr>
          <w:rFonts w:ascii="Times New Roman" w:eastAsia="Times New Roman" w:hAnsi="Times New Roman" w:cs="Times New Roman"/>
          <w:i/>
          <w:sz w:val="20"/>
          <w:szCs w:val="20"/>
        </w:rPr>
        <w:t>The End of History and the Last Man</w:t>
      </w:r>
      <w:r w:rsidRPr="00F4438D">
        <w:rPr>
          <w:rFonts w:ascii="Times New Roman" w:eastAsia="Times New Roman" w:hAnsi="Times New Roman" w:cs="Times New Roman"/>
          <w:sz w:val="20"/>
          <w:szCs w:val="20"/>
        </w:rPr>
        <w:t>, p.46.</w:t>
      </w:r>
    </w:p>
  </w:footnote>
  <w:footnote w:id="34">
    <w:p w:rsidR="00F4438D" w:rsidRPr="00F4438D" w:rsidRDefault="00B434B0" w:rsidP="00F4438D">
      <w:pPr>
        <w:spacing w:line="360" w:lineRule="auto"/>
        <w:ind w:left="360" w:hanging="360"/>
        <w:contextualSpacing/>
        <w:jc w:val="both"/>
        <w:rPr>
          <w:rFonts w:ascii="Times New Roman" w:eastAsia="Calibri" w:hAnsi="Times New Roman" w:cs="Times New Roman"/>
          <w:sz w:val="20"/>
          <w:szCs w:val="20"/>
          <w:lang w:bidi="ar-SA"/>
        </w:rPr>
      </w:pPr>
      <w:r w:rsidRPr="00F4438D">
        <w:rPr>
          <w:rFonts w:ascii="Times New Roman" w:hAnsi="Times New Roman" w:cs="Times New Roman"/>
          <w:sz w:val="20"/>
          <w:szCs w:val="20"/>
          <w:vertAlign w:val="superscript"/>
        </w:rPr>
        <w:footnoteRef/>
      </w:r>
      <w:r w:rsidR="00F4438D" w:rsidRPr="00F4438D">
        <w:rPr>
          <w:rFonts w:ascii="Times New Roman" w:eastAsia="Calibri" w:hAnsi="Times New Roman" w:cs="Times New Roman"/>
          <w:color w:val="222222"/>
          <w:sz w:val="20"/>
          <w:szCs w:val="20"/>
          <w:shd w:val="clear" w:color="auto" w:fill="FFFFFF"/>
          <w:lang w:bidi="ar-SA"/>
        </w:rPr>
        <w:t>Sanoff, A. P. (1992). AFTER THE END OF HISTORY, WHAT NEXT?. </w:t>
      </w:r>
      <w:r w:rsidR="00F4438D" w:rsidRPr="00F4438D">
        <w:rPr>
          <w:rFonts w:ascii="Times New Roman" w:eastAsia="Calibri" w:hAnsi="Times New Roman" w:cs="Times New Roman"/>
          <w:i/>
          <w:iCs/>
          <w:color w:val="222222"/>
          <w:sz w:val="20"/>
          <w:szCs w:val="20"/>
          <w:shd w:val="clear" w:color="auto" w:fill="FFFFFF"/>
          <w:lang w:bidi="ar-SA"/>
        </w:rPr>
        <w:t>US News &amp; World Report</w:t>
      </w:r>
      <w:r w:rsidR="00F4438D" w:rsidRPr="00F4438D">
        <w:rPr>
          <w:rFonts w:ascii="Times New Roman" w:eastAsia="Calibri" w:hAnsi="Times New Roman" w:cs="Times New Roman"/>
          <w:color w:val="222222"/>
          <w:sz w:val="20"/>
          <w:szCs w:val="20"/>
          <w:shd w:val="clear" w:color="auto" w:fill="FFFFFF"/>
          <w:lang w:bidi="ar-SA"/>
        </w:rPr>
        <w:t>, </w:t>
      </w:r>
      <w:r w:rsidR="00F4438D" w:rsidRPr="00F4438D">
        <w:rPr>
          <w:rFonts w:ascii="Times New Roman" w:eastAsia="Calibri" w:hAnsi="Times New Roman" w:cs="Times New Roman"/>
          <w:i/>
          <w:iCs/>
          <w:color w:val="222222"/>
          <w:sz w:val="20"/>
          <w:szCs w:val="20"/>
          <w:shd w:val="clear" w:color="auto" w:fill="FFFFFF"/>
          <w:lang w:bidi="ar-SA"/>
        </w:rPr>
        <w:t>112</w:t>
      </w:r>
      <w:r w:rsidR="00F4438D" w:rsidRPr="00F4438D">
        <w:rPr>
          <w:rFonts w:ascii="Times New Roman" w:eastAsia="Calibri" w:hAnsi="Times New Roman" w:cs="Times New Roman"/>
          <w:color w:val="222222"/>
          <w:sz w:val="20"/>
          <w:szCs w:val="20"/>
          <w:shd w:val="clear" w:color="auto" w:fill="FFFFFF"/>
          <w:lang w:bidi="ar-SA"/>
        </w:rPr>
        <w:t>(2), 59-60.</w:t>
      </w:r>
    </w:p>
    <w:p w:rsidR="00035D8D" w:rsidRDefault="00035D8D">
      <w:pPr>
        <w:spacing w:line="240" w:lineRule="auto"/>
        <w:rPr>
          <w:sz w:val="20"/>
          <w:szCs w:val="20"/>
        </w:rPr>
      </w:pPr>
    </w:p>
    <w:p w:rsidR="00035D8D" w:rsidRDefault="00035D8D">
      <w:pPr>
        <w:spacing w:line="240" w:lineRule="auto"/>
        <w:rPr>
          <w:sz w:val="20"/>
          <w:szCs w:val="20"/>
        </w:rPr>
      </w:pPr>
    </w:p>
  </w:footnote>
  <w:footnote w:id="35">
    <w:p w:rsidR="00035D8D" w:rsidRPr="00C90025" w:rsidRDefault="00B434B0" w:rsidP="00C90025">
      <w:pPr>
        <w:spacing w:line="360" w:lineRule="auto"/>
        <w:ind w:left="360" w:hanging="360"/>
        <w:contextualSpacing/>
        <w:jc w:val="both"/>
        <w:rPr>
          <w:rFonts w:ascii="Times New Roman" w:eastAsia="Calibri" w:hAnsi="Times New Roman" w:cs="Times New Roman"/>
          <w:sz w:val="20"/>
          <w:szCs w:val="20"/>
          <w:lang w:bidi="ar-SA"/>
        </w:rPr>
      </w:pPr>
      <w:r w:rsidRPr="00C90025">
        <w:rPr>
          <w:rFonts w:ascii="Times New Roman" w:hAnsi="Times New Roman" w:cs="Times New Roman"/>
          <w:sz w:val="20"/>
          <w:szCs w:val="20"/>
          <w:vertAlign w:val="superscript"/>
        </w:rPr>
        <w:footnoteRef/>
      </w:r>
      <w:bookmarkStart w:id="1" w:name="_Hlk69064792"/>
      <w:r w:rsidR="00C90025" w:rsidRPr="00C90025">
        <w:rPr>
          <w:rFonts w:ascii="Times New Roman" w:eastAsia="Calibri" w:hAnsi="Times New Roman" w:cs="Times New Roman"/>
          <w:sz w:val="20"/>
          <w:szCs w:val="20"/>
          <w:lang w:bidi="ar-SA"/>
        </w:rPr>
        <w:t>Francis Fukuyama, “The Illusion of Asian Exceptionalism,” in Democracy in East Asia, ed. Larry Jay Diamond and Marc F Plattner (Baltimore: Johns Hopkins University Press, 1998), 225.</w:t>
      </w:r>
      <w:bookmarkEnd w:id="1"/>
    </w:p>
  </w:footnote>
  <w:footnote w:id="36">
    <w:p w:rsidR="00035D8D" w:rsidRDefault="00B434B0" w:rsidP="00C90025">
      <w:pPr>
        <w:spacing w:line="360" w:lineRule="auto"/>
        <w:rPr>
          <w:sz w:val="20"/>
          <w:szCs w:val="20"/>
        </w:rPr>
      </w:pPr>
      <w:r w:rsidRPr="00C90025">
        <w:rPr>
          <w:rFonts w:ascii="Times New Roman" w:hAnsi="Times New Roman" w:cs="Times New Roman"/>
          <w:sz w:val="20"/>
          <w:szCs w:val="20"/>
          <w:vertAlign w:val="superscript"/>
        </w:rPr>
        <w:footnoteRef/>
      </w:r>
      <w:r w:rsidR="00C90025" w:rsidRPr="00C90025">
        <w:rPr>
          <w:rFonts w:ascii="Times New Roman" w:hAnsi="Times New Roman" w:cs="Times New Roman"/>
          <w:sz w:val="20"/>
          <w:szCs w:val="20"/>
        </w:rPr>
        <w:t>Ibid.</w:t>
      </w:r>
    </w:p>
  </w:footnote>
  <w:footnote w:id="37">
    <w:p w:rsidR="00035D8D" w:rsidRPr="006F0874" w:rsidRDefault="00B434B0" w:rsidP="006F0874">
      <w:pPr>
        <w:spacing w:line="360" w:lineRule="auto"/>
        <w:rPr>
          <w:rFonts w:ascii="Times New Roman" w:hAnsi="Times New Roman" w:cs="Times New Roman"/>
          <w:sz w:val="20"/>
          <w:szCs w:val="20"/>
        </w:rPr>
      </w:pPr>
      <w:r w:rsidRPr="006F0874">
        <w:rPr>
          <w:rFonts w:ascii="Times New Roman" w:hAnsi="Times New Roman" w:cs="Times New Roman"/>
          <w:sz w:val="20"/>
          <w:szCs w:val="20"/>
          <w:vertAlign w:val="superscript"/>
        </w:rPr>
        <w:footnoteRef/>
      </w:r>
      <w:r w:rsidR="006F0874" w:rsidRPr="006F0874">
        <w:rPr>
          <w:rFonts w:ascii="Times New Roman" w:eastAsia="Calibri" w:hAnsi="Times New Roman" w:cs="Times New Roman"/>
          <w:sz w:val="20"/>
          <w:szCs w:val="20"/>
          <w:lang w:bidi="ar-SA"/>
        </w:rPr>
        <w:t xml:space="preserve">Francis Fukuyama, </w:t>
      </w:r>
      <w:r w:rsidR="006F0874" w:rsidRPr="006F0874">
        <w:rPr>
          <w:rFonts w:ascii="Times New Roman" w:eastAsia="Calibri" w:hAnsi="Times New Roman" w:cs="Times New Roman"/>
          <w:i/>
          <w:iCs/>
          <w:sz w:val="20"/>
          <w:szCs w:val="20"/>
          <w:lang w:bidi="ar-SA"/>
        </w:rPr>
        <w:t>The End of History and the Last Man.</w:t>
      </w:r>
      <w:r w:rsidR="006F0874" w:rsidRPr="006F0874">
        <w:rPr>
          <w:rFonts w:ascii="Times New Roman" w:eastAsia="Calibri" w:hAnsi="Times New Roman" w:cs="Times New Roman"/>
          <w:sz w:val="20"/>
          <w:szCs w:val="20"/>
          <w:lang w:bidi="ar-SA"/>
        </w:rPr>
        <w:t xml:space="preserve"> New York, The Free Press, 1992: ix.; also in Dabashi, H. (2001). For the last time: Civilizations. </w:t>
      </w:r>
      <w:r w:rsidR="006F0874" w:rsidRPr="006F0874">
        <w:rPr>
          <w:rFonts w:ascii="Times New Roman" w:eastAsia="Calibri" w:hAnsi="Times New Roman" w:cs="Times New Roman"/>
          <w:i/>
          <w:iCs/>
          <w:sz w:val="20"/>
          <w:szCs w:val="20"/>
          <w:lang w:bidi="ar-SA"/>
        </w:rPr>
        <w:t>International sociology</w:t>
      </w:r>
      <w:r w:rsidR="006F0874" w:rsidRPr="006F0874">
        <w:rPr>
          <w:rFonts w:ascii="Times New Roman" w:eastAsia="Calibri" w:hAnsi="Times New Roman" w:cs="Times New Roman"/>
          <w:sz w:val="20"/>
          <w:szCs w:val="20"/>
          <w:lang w:bidi="ar-SA"/>
        </w:rPr>
        <w:t xml:space="preserve">, </w:t>
      </w:r>
      <w:r w:rsidR="006F0874" w:rsidRPr="006F0874">
        <w:rPr>
          <w:rFonts w:ascii="Times New Roman" w:eastAsia="Calibri" w:hAnsi="Times New Roman" w:cs="Times New Roman"/>
          <w:i/>
          <w:iCs/>
          <w:sz w:val="20"/>
          <w:szCs w:val="20"/>
          <w:lang w:bidi="ar-SA"/>
        </w:rPr>
        <w:t>16</w:t>
      </w:r>
      <w:r w:rsidR="006F0874" w:rsidRPr="006F0874">
        <w:rPr>
          <w:rFonts w:ascii="Times New Roman" w:eastAsia="Calibri" w:hAnsi="Times New Roman" w:cs="Times New Roman"/>
          <w:sz w:val="20"/>
          <w:szCs w:val="20"/>
          <w:lang w:bidi="ar-SA"/>
        </w:rPr>
        <w:t>(3), 361-368.</w:t>
      </w:r>
    </w:p>
  </w:footnote>
  <w:footnote w:id="38">
    <w:p w:rsidR="00035D8D" w:rsidRPr="006F0874" w:rsidRDefault="00B434B0" w:rsidP="006F0874">
      <w:pPr>
        <w:spacing w:line="360" w:lineRule="auto"/>
        <w:ind w:left="360" w:hanging="360"/>
        <w:contextualSpacing/>
        <w:jc w:val="both"/>
        <w:rPr>
          <w:rFonts w:ascii="Times New Roman" w:eastAsia="Calibri" w:hAnsi="Times New Roman" w:cs="Times New Roman"/>
          <w:sz w:val="20"/>
          <w:szCs w:val="20"/>
          <w:lang w:bidi="ar-SA"/>
        </w:rPr>
      </w:pPr>
      <w:r w:rsidRPr="006F0874">
        <w:rPr>
          <w:rFonts w:ascii="Times New Roman" w:hAnsi="Times New Roman" w:cs="Times New Roman"/>
          <w:sz w:val="20"/>
          <w:szCs w:val="20"/>
          <w:vertAlign w:val="superscript"/>
        </w:rPr>
        <w:footnoteRef/>
      </w:r>
      <w:r w:rsidR="006F0874" w:rsidRPr="006F0874">
        <w:rPr>
          <w:rFonts w:ascii="Times New Roman" w:eastAsia="Calibri" w:hAnsi="Times New Roman" w:cs="Times New Roman"/>
          <w:sz w:val="20"/>
          <w:szCs w:val="20"/>
          <w:lang w:bidi="ar-SA"/>
        </w:rPr>
        <w:t>Said, E. (2001). The clash of ignorance. </w:t>
      </w:r>
      <w:r w:rsidR="006F0874" w:rsidRPr="006F0874">
        <w:rPr>
          <w:rFonts w:ascii="Times New Roman" w:eastAsia="Calibri" w:hAnsi="Times New Roman" w:cs="Times New Roman"/>
          <w:i/>
          <w:iCs/>
          <w:sz w:val="20"/>
          <w:szCs w:val="20"/>
          <w:lang w:bidi="ar-SA"/>
        </w:rPr>
        <w:t>The nation</w:t>
      </w:r>
      <w:r w:rsidR="006F0874" w:rsidRPr="006F0874">
        <w:rPr>
          <w:rFonts w:ascii="Times New Roman" w:eastAsia="Calibri" w:hAnsi="Times New Roman" w:cs="Times New Roman"/>
          <w:sz w:val="20"/>
          <w:szCs w:val="20"/>
          <w:lang w:bidi="ar-SA"/>
        </w:rPr>
        <w:t>, </w:t>
      </w:r>
      <w:r w:rsidR="006F0874" w:rsidRPr="006F0874">
        <w:rPr>
          <w:rFonts w:ascii="Times New Roman" w:eastAsia="Calibri" w:hAnsi="Times New Roman" w:cs="Times New Roman"/>
          <w:i/>
          <w:iCs/>
          <w:sz w:val="20"/>
          <w:szCs w:val="20"/>
          <w:lang w:bidi="ar-SA"/>
        </w:rPr>
        <w:t>22</w:t>
      </w:r>
      <w:r w:rsidR="006F0874" w:rsidRPr="006F0874">
        <w:rPr>
          <w:rFonts w:ascii="Times New Roman" w:eastAsia="Calibri" w:hAnsi="Times New Roman" w:cs="Times New Roman"/>
          <w:sz w:val="20"/>
          <w:szCs w:val="20"/>
          <w:lang w:bidi="ar-SA"/>
        </w:rPr>
        <w:t>.</w:t>
      </w:r>
    </w:p>
  </w:footnote>
  <w:footnote w:id="39">
    <w:p w:rsidR="00035D8D" w:rsidRDefault="00B434B0" w:rsidP="006F0874">
      <w:pPr>
        <w:spacing w:line="360" w:lineRule="auto"/>
        <w:rPr>
          <w:sz w:val="20"/>
          <w:szCs w:val="20"/>
        </w:rPr>
      </w:pPr>
      <w:r w:rsidRPr="006F0874">
        <w:rPr>
          <w:rFonts w:ascii="Times New Roman" w:hAnsi="Times New Roman" w:cs="Times New Roman"/>
          <w:sz w:val="20"/>
          <w:szCs w:val="20"/>
          <w:vertAlign w:val="superscript"/>
        </w:rPr>
        <w:footnoteRef/>
      </w:r>
      <w:r w:rsidRPr="006F0874">
        <w:rPr>
          <w:rFonts w:ascii="Times New Roman" w:hAnsi="Times New Roman" w:cs="Times New Roman"/>
          <w:sz w:val="20"/>
          <w:szCs w:val="20"/>
        </w:rPr>
        <w:t>ibid.</w:t>
      </w:r>
    </w:p>
  </w:footnote>
  <w:footnote w:id="40">
    <w:p w:rsidR="00035D8D" w:rsidRPr="00923D2F" w:rsidRDefault="00B434B0" w:rsidP="00923D2F">
      <w:pPr>
        <w:spacing w:line="360" w:lineRule="auto"/>
        <w:rPr>
          <w:rFonts w:ascii="Times New Roman" w:hAnsi="Times New Roman" w:cs="Times New Roman"/>
          <w:sz w:val="20"/>
          <w:szCs w:val="20"/>
        </w:rPr>
      </w:pPr>
      <w:r w:rsidRPr="00923D2F">
        <w:rPr>
          <w:rFonts w:ascii="Times New Roman" w:hAnsi="Times New Roman" w:cs="Times New Roman"/>
          <w:sz w:val="20"/>
          <w:szCs w:val="20"/>
          <w:vertAlign w:val="superscript"/>
        </w:rPr>
        <w:footnoteRef/>
      </w:r>
      <w:r w:rsidRPr="00923D2F">
        <w:rPr>
          <w:rFonts w:ascii="Times New Roman" w:hAnsi="Times New Roman" w:cs="Times New Roman"/>
          <w:sz w:val="20"/>
          <w:szCs w:val="20"/>
        </w:rPr>
        <w:t>ibid.</w:t>
      </w:r>
    </w:p>
  </w:footnote>
  <w:footnote w:id="41">
    <w:p w:rsidR="00035D8D" w:rsidRDefault="00B434B0" w:rsidP="00923D2F">
      <w:pPr>
        <w:spacing w:line="360" w:lineRule="auto"/>
        <w:rPr>
          <w:sz w:val="20"/>
          <w:szCs w:val="20"/>
        </w:rPr>
      </w:pPr>
      <w:r w:rsidRPr="00923D2F">
        <w:rPr>
          <w:rFonts w:ascii="Times New Roman" w:hAnsi="Times New Roman" w:cs="Times New Roman"/>
          <w:sz w:val="20"/>
          <w:szCs w:val="20"/>
          <w:vertAlign w:val="superscript"/>
        </w:rPr>
        <w:footnoteRef/>
      </w:r>
      <w:r w:rsidRPr="00923D2F">
        <w:rPr>
          <w:rFonts w:ascii="Times New Roman" w:hAnsi="Times New Roman" w:cs="Times New Roman"/>
          <w:sz w:val="20"/>
          <w:szCs w:val="20"/>
        </w:rPr>
        <w:t>ibid.</w:t>
      </w:r>
    </w:p>
  </w:footnote>
  <w:footnote w:id="42">
    <w:p w:rsidR="00035D8D" w:rsidRPr="00923D2F" w:rsidRDefault="00B434B0" w:rsidP="00923D2F">
      <w:pPr>
        <w:spacing w:line="360" w:lineRule="auto"/>
        <w:rPr>
          <w:rFonts w:ascii="Times New Roman" w:hAnsi="Times New Roman" w:cs="Times New Roman"/>
          <w:sz w:val="20"/>
          <w:szCs w:val="20"/>
        </w:rPr>
      </w:pPr>
      <w:r w:rsidRPr="00923D2F">
        <w:rPr>
          <w:rFonts w:ascii="Times New Roman" w:hAnsi="Times New Roman" w:cs="Times New Roman"/>
          <w:sz w:val="20"/>
          <w:szCs w:val="20"/>
          <w:vertAlign w:val="superscript"/>
        </w:rPr>
        <w:footnoteRef/>
      </w:r>
      <w:r w:rsidR="00923D2F">
        <w:rPr>
          <w:rFonts w:ascii="Times New Roman" w:hAnsi="Times New Roman" w:cs="Times New Roman"/>
          <w:sz w:val="20"/>
          <w:szCs w:val="20"/>
        </w:rPr>
        <w:t>i</w:t>
      </w:r>
      <w:r w:rsidR="00923D2F" w:rsidRPr="00923D2F">
        <w:rPr>
          <w:rFonts w:ascii="Times New Roman" w:hAnsi="Times New Roman" w:cs="Times New Roman"/>
          <w:sz w:val="20"/>
          <w:szCs w:val="20"/>
        </w:rPr>
        <w:t xml:space="preserve">bid. </w:t>
      </w:r>
    </w:p>
  </w:footnote>
  <w:footnote w:id="43">
    <w:p w:rsidR="00035D8D" w:rsidRPr="00923D2F" w:rsidRDefault="00B434B0" w:rsidP="00923D2F">
      <w:pPr>
        <w:spacing w:line="360" w:lineRule="auto"/>
        <w:rPr>
          <w:rFonts w:ascii="Times New Roman" w:hAnsi="Times New Roman" w:cs="Times New Roman"/>
          <w:sz w:val="20"/>
          <w:szCs w:val="20"/>
        </w:rPr>
      </w:pPr>
      <w:r w:rsidRPr="00923D2F">
        <w:rPr>
          <w:rFonts w:ascii="Times New Roman" w:hAnsi="Times New Roman" w:cs="Times New Roman"/>
          <w:sz w:val="20"/>
          <w:szCs w:val="20"/>
          <w:vertAlign w:val="superscript"/>
        </w:rPr>
        <w:footnoteRef/>
      </w:r>
      <w:r w:rsidRPr="00923D2F">
        <w:rPr>
          <w:rFonts w:ascii="Times New Roman" w:hAnsi="Times New Roman" w:cs="Times New Roman"/>
          <w:sz w:val="20"/>
          <w:szCs w:val="20"/>
        </w:rPr>
        <w:t>ibid.</w:t>
      </w:r>
    </w:p>
  </w:footnote>
  <w:footnote w:id="44">
    <w:p w:rsidR="00035D8D" w:rsidRPr="00923D2F" w:rsidRDefault="00B434B0" w:rsidP="00923D2F">
      <w:pPr>
        <w:spacing w:line="360" w:lineRule="auto"/>
        <w:rPr>
          <w:rFonts w:ascii="Times New Roman" w:hAnsi="Times New Roman" w:cs="Times New Roman"/>
          <w:sz w:val="20"/>
          <w:szCs w:val="20"/>
        </w:rPr>
      </w:pPr>
      <w:r w:rsidRPr="00923D2F">
        <w:rPr>
          <w:rFonts w:ascii="Times New Roman" w:hAnsi="Times New Roman" w:cs="Times New Roman"/>
          <w:sz w:val="20"/>
          <w:szCs w:val="20"/>
          <w:vertAlign w:val="superscript"/>
        </w:rPr>
        <w:footnoteRef/>
      </w:r>
      <w:bookmarkStart w:id="2" w:name="_Hlk69064822"/>
      <w:r w:rsidRPr="00923D2F">
        <w:rPr>
          <w:rFonts w:ascii="Times New Roman" w:eastAsia="Times New Roman" w:hAnsi="Times New Roman" w:cs="Times New Roman"/>
          <w:sz w:val="20"/>
          <w:szCs w:val="20"/>
        </w:rPr>
        <w:t xml:space="preserve">Huntington, S. (1989). No Exit: The Errors of Endism. </w:t>
      </w:r>
      <w:r w:rsidRPr="00923D2F">
        <w:rPr>
          <w:rFonts w:ascii="Times New Roman" w:eastAsia="Times New Roman" w:hAnsi="Times New Roman" w:cs="Times New Roman"/>
          <w:i/>
          <w:sz w:val="20"/>
          <w:szCs w:val="20"/>
        </w:rPr>
        <w:t>The National Interest,</w:t>
      </w:r>
      <w:r w:rsidRPr="00923D2F">
        <w:rPr>
          <w:rFonts w:ascii="Times New Roman" w:eastAsia="Times New Roman" w:hAnsi="Times New Roman" w:cs="Times New Roman"/>
          <w:sz w:val="20"/>
          <w:szCs w:val="20"/>
        </w:rPr>
        <w:t xml:space="preserve"> (17), 3-11. Retrieved from www.jstor.org/stable/42896752</w:t>
      </w:r>
      <w:bookmarkEnd w:id="2"/>
    </w:p>
  </w:footnote>
  <w:footnote w:id="45">
    <w:p w:rsidR="00035D8D" w:rsidRPr="00923D2F" w:rsidRDefault="00B434B0" w:rsidP="00923D2F">
      <w:pPr>
        <w:spacing w:line="360" w:lineRule="auto"/>
        <w:rPr>
          <w:rFonts w:ascii="Times New Roman" w:hAnsi="Times New Roman" w:cs="Times New Roman"/>
          <w:sz w:val="20"/>
          <w:szCs w:val="20"/>
        </w:rPr>
      </w:pPr>
      <w:r w:rsidRPr="00923D2F">
        <w:rPr>
          <w:rFonts w:ascii="Times New Roman" w:hAnsi="Times New Roman" w:cs="Times New Roman"/>
          <w:sz w:val="20"/>
          <w:szCs w:val="20"/>
          <w:vertAlign w:val="superscript"/>
        </w:rPr>
        <w:footnoteRef/>
      </w:r>
      <w:r w:rsidRPr="00923D2F">
        <w:rPr>
          <w:rFonts w:ascii="Times New Roman" w:hAnsi="Times New Roman" w:cs="Times New Roman"/>
          <w:sz w:val="20"/>
          <w:szCs w:val="20"/>
        </w:rPr>
        <w:t>ibid.</w:t>
      </w:r>
    </w:p>
  </w:footnote>
  <w:footnote w:id="46">
    <w:p w:rsidR="00035D8D" w:rsidRPr="00923D2F" w:rsidRDefault="00B434B0" w:rsidP="00923D2F">
      <w:pPr>
        <w:spacing w:line="360" w:lineRule="auto"/>
        <w:rPr>
          <w:rFonts w:ascii="Times New Roman" w:hAnsi="Times New Roman" w:cs="Times New Roman"/>
          <w:sz w:val="20"/>
          <w:szCs w:val="20"/>
        </w:rPr>
      </w:pPr>
      <w:r w:rsidRPr="00923D2F">
        <w:rPr>
          <w:rFonts w:ascii="Times New Roman" w:hAnsi="Times New Roman" w:cs="Times New Roman"/>
          <w:sz w:val="20"/>
          <w:szCs w:val="20"/>
          <w:vertAlign w:val="superscript"/>
        </w:rPr>
        <w:footnoteRef/>
      </w:r>
      <w:r w:rsidRPr="00923D2F">
        <w:rPr>
          <w:rFonts w:ascii="Times New Roman" w:eastAsia="Times New Roman" w:hAnsi="Times New Roman" w:cs="Times New Roman"/>
          <w:sz w:val="20"/>
          <w:szCs w:val="20"/>
        </w:rPr>
        <w:t xml:space="preserve">Ibid. p 8. </w:t>
      </w:r>
    </w:p>
  </w:footnote>
  <w:footnote w:id="47">
    <w:p w:rsidR="00035D8D" w:rsidRDefault="00B434B0" w:rsidP="00923D2F">
      <w:pPr>
        <w:spacing w:line="360" w:lineRule="auto"/>
        <w:rPr>
          <w:sz w:val="20"/>
          <w:szCs w:val="20"/>
        </w:rPr>
      </w:pPr>
      <w:r w:rsidRPr="00923D2F">
        <w:rPr>
          <w:rFonts w:ascii="Times New Roman" w:hAnsi="Times New Roman" w:cs="Times New Roman"/>
          <w:sz w:val="20"/>
          <w:szCs w:val="20"/>
          <w:vertAlign w:val="superscript"/>
        </w:rPr>
        <w:footnoteRef/>
      </w:r>
      <w:bookmarkStart w:id="3" w:name="_Hlk69064831"/>
      <w:r w:rsidRPr="00923D2F">
        <w:rPr>
          <w:rFonts w:ascii="Times New Roman" w:eastAsia="Times New Roman" w:hAnsi="Times New Roman" w:cs="Times New Roman"/>
          <w:sz w:val="20"/>
          <w:szCs w:val="20"/>
        </w:rPr>
        <w:t>Samuel P. Huntington, The Clash of Civilizations and the Remaking of World Order (New York: Simon &amp; Schuster, 2003), 21.</w:t>
      </w:r>
      <w:bookmarkEnd w:id="3"/>
    </w:p>
  </w:footnote>
  <w:footnote w:id="48">
    <w:p w:rsidR="00035D8D" w:rsidRPr="0046731C" w:rsidRDefault="00B434B0" w:rsidP="0046731C">
      <w:pPr>
        <w:spacing w:line="360" w:lineRule="auto"/>
        <w:ind w:left="360" w:hanging="360"/>
        <w:jc w:val="both"/>
        <w:rPr>
          <w:rFonts w:ascii="Times New Roman" w:eastAsia="Calibri" w:hAnsi="Times New Roman" w:cs="Times New Roman"/>
          <w:iCs/>
          <w:sz w:val="20"/>
          <w:szCs w:val="20"/>
          <w:lang w:bidi="ar-SA"/>
        </w:rPr>
      </w:pPr>
      <w:r w:rsidRPr="0046731C">
        <w:rPr>
          <w:rFonts w:ascii="Times New Roman" w:hAnsi="Times New Roman" w:cs="Times New Roman"/>
          <w:sz w:val="20"/>
          <w:szCs w:val="20"/>
          <w:vertAlign w:val="superscript"/>
        </w:rPr>
        <w:footnoteRef/>
      </w:r>
      <w:r w:rsidR="0046731C" w:rsidRPr="0046731C">
        <w:rPr>
          <w:rFonts w:ascii="Times New Roman" w:eastAsia="Calibri" w:hAnsi="Times New Roman" w:cs="Times New Roman"/>
          <w:iCs/>
          <w:sz w:val="20"/>
          <w:szCs w:val="20"/>
          <w:lang w:bidi="ar-SA"/>
        </w:rPr>
        <w:t xml:space="preserve">Gearóid Ó Tuathail, “Samuel Huntington and the ‘Civilizing’ of Global Space,” in The Geopolitics Reader, ed. Gearóid Ó Tuathail, Simon Dalby, and Paul Routledge (London: Routledge, 1998), 172.  </w:t>
      </w:r>
    </w:p>
  </w:footnote>
  <w:footnote w:id="49">
    <w:p w:rsidR="00035D8D" w:rsidRPr="0046731C" w:rsidRDefault="00B434B0" w:rsidP="0046731C">
      <w:pPr>
        <w:spacing w:line="360" w:lineRule="auto"/>
        <w:rPr>
          <w:rFonts w:ascii="Times New Roman" w:hAnsi="Times New Roman" w:cs="Times New Roman"/>
          <w:sz w:val="20"/>
          <w:szCs w:val="20"/>
        </w:rPr>
      </w:pPr>
      <w:r w:rsidRPr="0046731C">
        <w:rPr>
          <w:rFonts w:ascii="Times New Roman" w:hAnsi="Times New Roman" w:cs="Times New Roman"/>
          <w:sz w:val="20"/>
          <w:szCs w:val="20"/>
          <w:vertAlign w:val="superscript"/>
        </w:rPr>
        <w:footnoteRef/>
      </w:r>
      <w:r w:rsidR="0046731C" w:rsidRPr="0046731C">
        <w:rPr>
          <w:rFonts w:ascii="Times New Roman" w:eastAsia="Calibri" w:hAnsi="Times New Roman" w:cs="Times New Roman"/>
          <w:sz w:val="20"/>
          <w:szCs w:val="20"/>
          <w:lang w:bidi="ar-SA"/>
        </w:rPr>
        <w:t>Samuel P. Huntington, The Clash of Civilizations and the Remaking of World Order (New York: Simon &amp; Schuster, 2003), 43.</w:t>
      </w:r>
    </w:p>
  </w:footnote>
  <w:footnote w:id="50">
    <w:p w:rsidR="00035D8D" w:rsidRPr="0046731C" w:rsidRDefault="00B434B0" w:rsidP="0046731C">
      <w:pPr>
        <w:pStyle w:val="FootnoteText1"/>
        <w:spacing w:line="360" w:lineRule="auto"/>
        <w:rPr>
          <w:rFonts w:ascii="Times New Roman" w:eastAsia="Calibri" w:hAnsi="Times New Roman" w:cs="Times New Roman"/>
          <w:lang w:bidi="ar-SA"/>
        </w:rPr>
      </w:pPr>
      <w:r w:rsidRPr="0046731C">
        <w:rPr>
          <w:rFonts w:ascii="Times New Roman" w:hAnsi="Times New Roman" w:cs="Times New Roman"/>
          <w:vertAlign w:val="superscript"/>
        </w:rPr>
        <w:footnoteRef/>
      </w:r>
      <w:r w:rsidR="00522B07">
        <w:rPr>
          <w:rFonts w:ascii="Times New Roman" w:eastAsia="Calibri" w:hAnsi="Times New Roman" w:cs="Times New Roman"/>
          <w:lang w:bidi="ar-SA"/>
        </w:rPr>
        <w:t>ibid.</w:t>
      </w:r>
    </w:p>
  </w:footnote>
  <w:footnote w:id="51">
    <w:p w:rsidR="00035D8D" w:rsidRDefault="00B434B0" w:rsidP="0046731C">
      <w:pPr>
        <w:spacing w:line="360" w:lineRule="auto"/>
        <w:rPr>
          <w:sz w:val="20"/>
          <w:szCs w:val="20"/>
        </w:rPr>
      </w:pPr>
      <w:r w:rsidRPr="0046731C">
        <w:rPr>
          <w:rFonts w:ascii="Times New Roman" w:hAnsi="Times New Roman" w:cs="Times New Roman"/>
          <w:sz w:val="20"/>
          <w:szCs w:val="20"/>
          <w:vertAlign w:val="superscript"/>
        </w:rPr>
        <w:footnoteRef/>
      </w:r>
      <w:r w:rsidRPr="0046731C">
        <w:rPr>
          <w:rFonts w:ascii="Times New Roman" w:hAnsi="Times New Roman" w:cs="Times New Roman"/>
          <w:sz w:val="20"/>
          <w:szCs w:val="20"/>
        </w:rPr>
        <w:t>ibid.</w:t>
      </w:r>
    </w:p>
  </w:footnote>
  <w:footnote w:id="52">
    <w:p w:rsidR="00035D8D" w:rsidRPr="008A0FFF" w:rsidRDefault="00B434B0" w:rsidP="008A0FFF">
      <w:pPr>
        <w:spacing w:line="360" w:lineRule="auto"/>
        <w:rPr>
          <w:rFonts w:ascii="Times New Roman" w:hAnsi="Times New Roman" w:cs="Times New Roman"/>
          <w:sz w:val="20"/>
          <w:szCs w:val="20"/>
        </w:rPr>
      </w:pPr>
      <w:r w:rsidRPr="008A0FFF">
        <w:rPr>
          <w:rFonts w:ascii="Times New Roman" w:hAnsi="Times New Roman" w:cs="Times New Roman"/>
          <w:sz w:val="20"/>
          <w:szCs w:val="20"/>
          <w:vertAlign w:val="superscript"/>
        </w:rPr>
        <w:footnoteRef/>
      </w:r>
      <w:r w:rsidR="00E75302" w:rsidRPr="008A0FFF">
        <w:rPr>
          <w:rFonts w:ascii="Times New Roman" w:eastAsia="Calibri" w:hAnsi="Times New Roman" w:cs="Times New Roman"/>
          <w:sz w:val="20"/>
          <w:szCs w:val="20"/>
          <w:lang w:bidi="ar-SA"/>
        </w:rPr>
        <w:t>Huntington, The Clash of Civilizations and the Remaking of World Order, 117</w:t>
      </w:r>
    </w:p>
  </w:footnote>
  <w:footnote w:id="53">
    <w:p w:rsidR="00035D8D" w:rsidRPr="008A0FFF" w:rsidRDefault="00B434B0" w:rsidP="008A0FFF">
      <w:pPr>
        <w:spacing w:line="360" w:lineRule="auto"/>
        <w:rPr>
          <w:rFonts w:ascii="Times New Roman" w:hAnsi="Times New Roman" w:cs="Times New Roman"/>
          <w:sz w:val="20"/>
          <w:szCs w:val="20"/>
        </w:rPr>
      </w:pPr>
      <w:r w:rsidRPr="008A0FFF">
        <w:rPr>
          <w:rFonts w:ascii="Times New Roman" w:hAnsi="Times New Roman" w:cs="Times New Roman"/>
          <w:sz w:val="20"/>
          <w:szCs w:val="20"/>
          <w:vertAlign w:val="superscript"/>
        </w:rPr>
        <w:footnoteRef/>
      </w:r>
      <w:r w:rsidR="00E75302" w:rsidRPr="008A0FFF">
        <w:rPr>
          <w:rFonts w:ascii="Times New Roman" w:eastAsia="Calibri" w:hAnsi="Times New Roman" w:cs="Times New Roman"/>
          <w:sz w:val="20"/>
          <w:szCs w:val="20"/>
          <w:lang w:bidi="ar-SA"/>
        </w:rPr>
        <w:t xml:space="preserve">Samuel P. Huntington, “Religion, Culture, and International Conflict After September 11: A Conversation with Samuel P. Huntington,” </w:t>
      </w:r>
      <w:r w:rsidR="00E75302" w:rsidRPr="008A0FFF">
        <w:rPr>
          <w:rFonts w:ascii="Times New Roman" w:eastAsia="Calibri" w:hAnsi="Times New Roman" w:cs="Times New Roman"/>
          <w:i/>
          <w:iCs/>
          <w:sz w:val="20"/>
          <w:szCs w:val="20"/>
          <w:lang w:bidi="ar-SA"/>
        </w:rPr>
        <w:t>Ethics and Public Policy Center Online</w:t>
      </w:r>
      <w:r w:rsidR="00E75302" w:rsidRPr="008A0FFF">
        <w:rPr>
          <w:rFonts w:ascii="Times New Roman" w:eastAsia="Calibri" w:hAnsi="Times New Roman" w:cs="Times New Roman"/>
          <w:sz w:val="20"/>
          <w:szCs w:val="20"/>
          <w:lang w:bidi="ar-SA"/>
        </w:rPr>
        <w:t>, June 17, 2002</w:t>
      </w:r>
    </w:p>
  </w:footnote>
  <w:footnote w:id="54">
    <w:p w:rsidR="00035D8D" w:rsidRPr="008A0FFF" w:rsidRDefault="00B434B0" w:rsidP="008A0FFF">
      <w:pPr>
        <w:spacing w:line="360" w:lineRule="auto"/>
        <w:rPr>
          <w:rFonts w:ascii="Times New Roman" w:hAnsi="Times New Roman" w:cs="Times New Roman"/>
          <w:sz w:val="20"/>
          <w:szCs w:val="20"/>
        </w:rPr>
      </w:pPr>
      <w:r w:rsidRPr="008A0FFF">
        <w:rPr>
          <w:rFonts w:ascii="Times New Roman" w:hAnsi="Times New Roman" w:cs="Times New Roman"/>
          <w:sz w:val="20"/>
          <w:szCs w:val="20"/>
          <w:vertAlign w:val="superscript"/>
        </w:rPr>
        <w:footnoteRef/>
      </w:r>
      <w:r w:rsidR="008A0FFF" w:rsidRPr="008A0FFF">
        <w:rPr>
          <w:rFonts w:ascii="Times New Roman" w:hAnsi="Times New Roman" w:cs="Times New Roman"/>
          <w:sz w:val="20"/>
          <w:szCs w:val="20"/>
        </w:rPr>
        <w:t>ibid, p</w:t>
      </w:r>
      <w:r w:rsidRPr="008A0FFF">
        <w:rPr>
          <w:rFonts w:ascii="Times New Roman" w:hAnsi="Times New Roman" w:cs="Times New Roman"/>
          <w:sz w:val="20"/>
          <w:szCs w:val="20"/>
        </w:rPr>
        <w:t xml:space="preserve"> 256-7.</w:t>
      </w:r>
    </w:p>
  </w:footnote>
  <w:footnote w:id="55">
    <w:p w:rsidR="00035D8D" w:rsidRDefault="00B434B0" w:rsidP="008A0FFF">
      <w:pPr>
        <w:spacing w:line="360" w:lineRule="auto"/>
        <w:rPr>
          <w:sz w:val="20"/>
          <w:szCs w:val="20"/>
        </w:rPr>
      </w:pPr>
      <w:r w:rsidRPr="008A0FFF">
        <w:rPr>
          <w:rFonts w:ascii="Times New Roman" w:hAnsi="Times New Roman" w:cs="Times New Roman"/>
          <w:sz w:val="20"/>
          <w:szCs w:val="20"/>
          <w:vertAlign w:val="superscript"/>
        </w:rPr>
        <w:footnoteRef/>
      </w:r>
      <w:r w:rsidRPr="008A0FFF">
        <w:rPr>
          <w:rFonts w:ascii="Times New Roman" w:hAnsi="Times New Roman" w:cs="Times New Roman"/>
          <w:sz w:val="20"/>
          <w:szCs w:val="20"/>
        </w:rPr>
        <w:t>ibid.</w:t>
      </w:r>
    </w:p>
  </w:footnote>
  <w:footnote w:id="56">
    <w:p w:rsidR="00035D8D" w:rsidRPr="00CA5D7D" w:rsidRDefault="00B434B0" w:rsidP="00CA5D7D">
      <w:pPr>
        <w:spacing w:line="360" w:lineRule="auto"/>
        <w:rPr>
          <w:rFonts w:ascii="Times New Roman" w:hAnsi="Times New Roman" w:cs="Times New Roman"/>
          <w:sz w:val="20"/>
          <w:szCs w:val="20"/>
        </w:rPr>
      </w:pPr>
      <w:r w:rsidRPr="00CA5D7D">
        <w:rPr>
          <w:rFonts w:ascii="Times New Roman" w:hAnsi="Times New Roman" w:cs="Times New Roman"/>
          <w:sz w:val="20"/>
          <w:szCs w:val="20"/>
          <w:vertAlign w:val="superscript"/>
        </w:rPr>
        <w:footnoteRef/>
      </w:r>
      <w:r w:rsidRPr="00CA5D7D">
        <w:rPr>
          <w:rFonts w:ascii="Times New Roman" w:hAnsi="Times New Roman" w:cs="Times New Roman"/>
          <w:sz w:val="20"/>
          <w:szCs w:val="20"/>
        </w:rPr>
        <w:t>ibid.</w:t>
      </w:r>
    </w:p>
  </w:footnote>
  <w:footnote w:id="57">
    <w:p w:rsidR="00035D8D" w:rsidRPr="00CA5D7D" w:rsidRDefault="00B434B0" w:rsidP="00CA5D7D">
      <w:pPr>
        <w:spacing w:line="360" w:lineRule="auto"/>
        <w:rPr>
          <w:rFonts w:ascii="Times New Roman" w:hAnsi="Times New Roman" w:cs="Times New Roman"/>
          <w:sz w:val="20"/>
          <w:szCs w:val="20"/>
        </w:rPr>
      </w:pPr>
      <w:r w:rsidRPr="00CA5D7D">
        <w:rPr>
          <w:rFonts w:ascii="Times New Roman" w:hAnsi="Times New Roman" w:cs="Times New Roman"/>
          <w:sz w:val="20"/>
          <w:szCs w:val="20"/>
          <w:vertAlign w:val="superscript"/>
        </w:rPr>
        <w:footnoteRef/>
      </w:r>
      <w:r w:rsidR="00522B07" w:rsidRPr="00CA5D7D">
        <w:rPr>
          <w:rFonts w:ascii="Times New Roman" w:hAnsi="Times New Roman" w:cs="Times New Roman"/>
          <w:sz w:val="20"/>
          <w:szCs w:val="20"/>
        </w:rPr>
        <w:t>Fukuyama, “Social Capital, Civil Society and Development,” 8.</w:t>
      </w:r>
    </w:p>
    <w:p w:rsidR="00035D8D" w:rsidRDefault="00035D8D">
      <w:pPr>
        <w:spacing w:line="240" w:lineRule="auto"/>
        <w:rPr>
          <w:sz w:val="20"/>
          <w:szCs w:val="20"/>
        </w:rPr>
      </w:pPr>
    </w:p>
  </w:footnote>
  <w:footnote w:id="58">
    <w:p w:rsidR="00035D8D" w:rsidRPr="00F271E8" w:rsidRDefault="00B434B0" w:rsidP="00F271E8">
      <w:pPr>
        <w:spacing w:line="360" w:lineRule="auto"/>
        <w:rPr>
          <w:rFonts w:ascii="Times New Roman" w:hAnsi="Times New Roman" w:cs="Times New Roman"/>
          <w:sz w:val="20"/>
          <w:szCs w:val="20"/>
        </w:rPr>
      </w:pPr>
      <w:r w:rsidRPr="00F271E8">
        <w:rPr>
          <w:rFonts w:ascii="Times New Roman" w:hAnsi="Times New Roman" w:cs="Times New Roman"/>
          <w:sz w:val="20"/>
          <w:szCs w:val="20"/>
          <w:vertAlign w:val="superscript"/>
        </w:rPr>
        <w:footnoteRef/>
      </w:r>
      <w:r w:rsidRPr="00F271E8">
        <w:rPr>
          <w:rFonts w:ascii="Times New Roman" w:hAnsi="Times New Roman" w:cs="Times New Roman"/>
          <w:sz w:val="20"/>
          <w:szCs w:val="20"/>
        </w:rPr>
        <w:t>ibid.</w:t>
      </w:r>
    </w:p>
  </w:footnote>
  <w:footnote w:id="59">
    <w:p w:rsidR="00035D8D" w:rsidRPr="00F271E8" w:rsidRDefault="00B434B0" w:rsidP="00F271E8">
      <w:pPr>
        <w:spacing w:line="360" w:lineRule="auto"/>
        <w:rPr>
          <w:rFonts w:ascii="Times New Roman" w:hAnsi="Times New Roman" w:cs="Times New Roman"/>
          <w:sz w:val="20"/>
          <w:szCs w:val="20"/>
        </w:rPr>
      </w:pPr>
      <w:r w:rsidRPr="00F271E8">
        <w:rPr>
          <w:rFonts w:ascii="Times New Roman" w:hAnsi="Times New Roman" w:cs="Times New Roman"/>
          <w:sz w:val="20"/>
          <w:szCs w:val="20"/>
          <w:vertAlign w:val="superscript"/>
        </w:rPr>
        <w:footnoteRef/>
      </w:r>
      <w:r w:rsidRPr="00F271E8">
        <w:rPr>
          <w:rFonts w:ascii="Times New Roman" w:eastAsia="Times New Roman" w:hAnsi="Times New Roman" w:cs="Times New Roman"/>
          <w:sz w:val="20"/>
          <w:szCs w:val="20"/>
        </w:rPr>
        <w:t>Francis Fukuyama, “History and September 11,” in Worlds in Collision: Terror and the Future of Global Order, ed. Ken Booth and Timothy Dunne (New York: Palgrave Macmillan, 2002), 31</w:t>
      </w:r>
    </w:p>
  </w:footnote>
  <w:footnote w:id="60">
    <w:p w:rsidR="00035D8D" w:rsidRPr="00F271E8" w:rsidRDefault="00B434B0" w:rsidP="00F271E8">
      <w:pPr>
        <w:spacing w:line="360" w:lineRule="auto"/>
        <w:rPr>
          <w:rFonts w:ascii="Times New Roman" w:hAnsi="Times New Roman" w:cs="Times New Roman"/>
          <w:sz w:val="20"/>
          <w:szCs w:val="20"/>
        </w:rPr>
      </w:pPr>
      <w:r w:rsidRPr="00F271E8">
        <w:rPr>
          <w:rFonts w:ascii="Times New Roman" w:hAnsi="Times New Roman" w:cs="Times New Roman"/>
          <w:sz w:val="20"/>
          <w:szCs w:val="20"/>
          <w:vertAlign w:val="superscript"/>
        </w:rPr>
        <w:footnoteRef/>
      </w:r>
      <w:r w:rsidRPr="00F271E8">
        <w:rPr>
          <w:rFonts w:ascii="Times New Roman" w:eastAsia="Times New Roman" w:hAnsi="Times New Roman" w:cs="Times New Roman"/>
          <w:sz w:val="20"/>
          <w:szCs w:val="20"/>
        </w:rPr>
        <w:t>Francis Fukuyama, “Asian Values, Korean Values, and Democratic Consolidation,” in Institutional Reform and Democratic Consolidation in Korea, ed. Larry Jay Diamond and Doh Chull Shin (Stanford, Calif: Hoover Institution Press, Stanford University, 2000), 311; Fukuyama, “The Illusion of Asian Exceptionalism,” 226.</w:t>
      </w:r>
    </w:p>
  </w:footnote>
  <w:footnote w:id="61">
    <w:p w:rsidR="00035D8D" w:rsidRDefault="00B434B0" w:rsidP="00F271E8">
      <w:pPr>
        <w:spacing w:line="360" w:lineRule="auto"/>
        <w:rPr>
          <w:sz w:val="20"/>
          <w:szCs w:val="20"/>
        </w:rPr>
      </w:pPr>
      <w:r w:rsidRPr="00F271E8">
        <w:rPr>
          <w:rFonts w:ascii="Times New Roman" w:hAnsi="Times New Roman" w:cs="Times New Roman"/>
          <w:sz w:val="20"/>
          <w:szCs w:val="20"/>
          <w:vertAlign w:val="superscript"/>
        </w:rPr>
        <w:footnoteRef/>
      </w:r>
      <w:r w:rsidRPr="00F271E8">
        <w:rPr>
          <w:rFonts w:ascii="Times New Roman" w:eastAsia="Times New Roman" w:hAnsi="Times New Roman" w:cs="Times New Roman"/>
          <w:sz w:val="20"/>
          <w:szCs w:val="20"/>
        </w:rPr>
        <w:t>Fukuyama, “History and September 11,” 33.</w:t>
      </w:r>
    </w:p>
  </w:footnote>
  <w:footnote w:id="62">
    <w:p w:rsidR="00035D8D" w:rsidRPr="00AB554D" w:rsidRDefault="00B434B0" w:rsidP="00AB554D">
      <w:pPr>
        <w:spacing w:line="360" w:lineRule="auto"/>
        <w:rPr>
          <w:rFonts w:ascii="Times New Roman" w:hAnsi="Times New Roman" w:cs="Times New Roman"/>
          <w:sz w:val="20"/>
          <w:szCs w:val="20"/>
        </w:rPr>
      </w:pPr>
      <w:r w:rsidRPr="00AB554D">
        <w:rPr>
          <w:rFonts w:ascii="Times New Roman" w:hAnsi="Times New Roman" w:cs="Times New Roman"/>
          <w:sz w:val="20"/>
          <w:szCs w:val="20"/>
          <w:vertAlign w:val="superscript"/>
        </w:rPr>
        <w:footnoteRef/>
      </w:r>
      <w:r w:rsidRPr="00AB554D">
        <w:rPr>
          <w:rFonts w:ascii="Times New Roman" w:hAnsi="Times New Roman" w:cs="Times New Roman"/>
          <w:sz w:val="20"/>
          <w:szCs w:val="20"/>
        </w:rPr>
        <w:t xml:space="preserve">Ibid. p.34. </w:t>
      </w:r>
    </w:p>
  </w:footnote>
  <w:footnote w:id="63">
    <w:p w:rsidR="00035D8D" w:rsidRPr="00AB554D" w:rsidRDefault="00B434B0" w:rsidP="00AB554D">
      <w:pPr>
        <w:spacing w:line="360" w:lineRule="auto"/>
        <w:rPr>
          <w:rFonts w:ascii="Times New Roman" w:hAnsi="Times New Roman" w:cs="Times New Roman"/>
          <w:sz w:val="20"/>
          <w:szCs w:val="20"/>
        </w:rPr>
      </w:pPr>
      <w:r w:rsidRPr="00AB554D">
        <w:rPr>
          <w:rFonts w:ascii="Times New Roman" w:hAnsi="Times New Roman" w:cs="Times New Roman"/>
          <w:sz w:val="20"/>
          <w:szCs w:val="20"/>
          <w:vertAlign w:val="superscript"/>
        </w:rPr>
        <w:footnoteRef/>
      </w:r>
      <w:bookmarkStart w:id="4" w:name="_Hlk69064898"/>
      <w:r w:rsidRPr="00AB554D">
        <w:rPr>
          <w:rFonts w:ascii="Times New Roman" w:eastAsia="Times New Roman" w:hAnsi="Times New Roman" w:cs="Times New Roman"/>
          <w:sz w:val="20"/>
          <w:szCs w:val="20"/>
        </w:rPr>
        <w:t>Huntington, “Religion, Culture, and International Conflict After September 11: A Conversation with Samuel P. Huntington,” 11, 12.</w:t>
      </w:r>
      <w:bookmarkEnd w:id="4"/>
    </w:p>
  </w:footnote>
  <w:footnote w:id="64">
    <w:p w:rsidR="00035D8D" w:rsidRPr="00AB554D" w:rsidRDefault="00B434B0" w:rsidP="00AB554D">
      <w:pPr>
        <w:spacing w:line="360" w:lineRule="auto"/>
        <w:rPr>
          <w:rFonts w:ascii="Times New Roman" w:hAnsi="Times New Roman" w:cs="Times New Roman"/>
          <w:sz w:val="20"/>
          <w:szCs w:val="20"/>
        </w:rPr>
      </w:pPr>
      <w:r w:rsidRPr="00AB554D">
        <w:rPr>
          <w:rFonts w:ascii="Times New Roman" w:hAnsi="Times New Roman" w:cs="Times New Roman"/>
          <w:sz w:val="20"/>
          <w:szCs w:val="20"/>
          <w:vertAlign w:val="superscript"/>
        </w:rPr>
        <w:footnoteRef/>
      </w:r>
      <w:r w:rsidRPr="00AB554D">
        <w:rPr>
          <w:rFonts w:ascii="Times New Roman" w:hAnsi="Times New Roman" w:cs="Times New Roman"/>
          <w:sz w:val="20"/>
          <w:szCs w:val="20"/>
        </w:rPr>
        <w:t>ibid.</w:t>
      </w:r>
    </w:p>
  </w:footnote>
  <w:footnote w:id="65">
    <w:p w:rsidR="00035D8D" w:rsidRPr="00AB554D" w:rsidRDefault="00B434B0" w:rsidP="00AB554D">
      <w:pPr>
        <w:spacing w:line="360" w:lineRule="auto"/>
        <w:rPr>
          <w:rFonts w:ascii="Times New Roman" w:hAnsi="Times New Roman" w:cs="Times New Roman"/>
          <w:sz w:val="20"/>
          <w:szCs w:val="20"/>
        </w:rPr>
      </w:pPr>
      <w:r w:rsidRPr="00AB554D">
        <w:rPr>
          <w:rFonts w:ascii="Times New Roman" w:hAnsi="Times New Roman" w:cs="Times New Roman"/>
          <w:sz w:val="20"/>
          <w:szCs w:val="20"/>
          <w:vertAlign w:val="superscript"/>
        </w:rPr>
        <w:footnoteRef/>
      </w:r>
      <w:bookmarkStart w:id="5" w:name="_Hlk69064909"/>
      <w:r w:rsidRPr="00AB554D">
        <w:rPr>
          <w:rFonts w:ascii="Times New Roman" w:hAnsi="Times New Roman" w:cs="Times New Roman"/>
          <w:sz w:val="20"/>
          <w:szCs w:val="20"/>
        </w:rPr>
        <w:t>Francis Fukuyama, “The End of History--20 Years Later,”  interview by Nathan Gardels, October 31, 2009,http://www.huffingtonpost.com/nathan-gardels/the-end-of-history----20_b_341078.html</w:t>
      </w:r>
      <w:bookmarkEnd w:id="5"/>
    </w:p>
    <w:p w:rsidR="00035D8D" w:rsidRDefault="00035D8D">
      <w:pPr>
        <w:spacing w:line="240" w:lineRule="auto"/>
        <w:rPr>
          <w:sz w:val="20"/>
          <w:szCs w:val="20"/>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A35B3"/>
    <w:multiLevelType w:val="hybridMultilevel"/>
    <w:tmpl w:val="88F83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EE30DE"/>
    <w:multiLevelType w:val="multilevel"/>
    <w:tmpl w:val="58F40C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F162D1B"/>
    <w:multiLevelType w:val="multilevel"/>
    <w:tmpl w:val="58F40C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035D8D"/>
    <w:rsid w:val="00005BE7"/>
    <w:rsid w:val="00035D8D"/>
    <w:rsid w:val="000638A0"/>
    <w:rsid w:val="00067261"/>
    <w:rsid w:val="00097F6E"/>
    <w:rsid w:val="000C082A"/>
    <w:rsid w:val="001108C9"/>
    <w:rsid w:val="001E2373"/>
    <w:rsid w:val="003151FF"/>
    <w:rsid w:val="00396999"/>
    <w:rsid w:val="003A3B21"/>
    <w:rsid w:val="003B5271"/>
    <w:rsid w:val="00400E0E"/>
    <w:rsid w:val="0046730E"/>
    <w:rsid w:val="0046731C"/>
    <w:rsid w:val="005140B6"/>
    <w:rsid w:val="00522B07"/>
    <w:rsid w:val="0058318D"/>
    <w:rsid w:val="00591231"/>
    <w:rsid w:val="005B1824"/>
    <w:rsid w:val="00631759"/>
    <w:rsid w:val="00637ED9"/>
    <w:rsid w:val="006F0874"/>
    <w:rsid w:val="00714819"/>
    <w:rsid w:val="007165B4"/>
    <w:rsid w:val="007A2C45"/>
    <w:rsid w:val="007D6C49"/>
    <w:rsid w:val="008210D6"/>
    <w:rsid w:val="00833869"/>
    <w:rsid w:val="00886BC8"/>
    <w:rsid w:val="008A0FFF"/>
    <w:rsid w:val="008C2911"/>
    <w:rsid w:val="00923D2F"/>
    <w:rsid w:val="009945F9"/>
    <w:rsid w:val="009B443A"/>
    <w:rsid w:val="009F7556"/>
    <w:rsid w:val="00A524B2"/>
    <w:rsid w:val="00A55ECF"/>
    <w:rsid w:val="00AA2E02"/>
    <w:rsid w:val="00AB554D"/>
    <w:rsid w:val="00B434B0"/>
    <w:rsid w:val="00C567A6"/>
    <w:rsid w:val="00C61F19"/>
    <w:rsid w:val="00C90025"/>
    <w:rsid w:val="00C93FA1"/>
    <w:rsid w:val="00CA5D7D"/>
    <w:rsid w:val="00CB5310"/>
    <w:rsid w:val="00CC051F"/>
    <w:rsid w:val="00D018F7"/>
    <w:rsid w:val="00D01D84"/>
    <w:rsid w:val="00D52728"/>
    <w:rsid w:val="00D96BF4"/>
    <w:rsid w:val="00E46F5D"/>
    <w:rsid w:val="00E705A4"/>
    <w:rsid w:val="00E75302"/>
    <w:rsid w:val="00F10197"/>
    <w:rsid w:val="00F271E8"/>
    <w:rsid w:val="00F4438D"/>
    <w:rsid w:val="00F83647"/>
    <w:rsid w:val="00FE16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bn-BD"/>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231"/>
  </w:style>
  <w:style w:type="paragraph" w:styleId="Heading1">
    <w:name w:val="heading 1"/>
    <w:basedOn w:val="Normal"/>
    <w:next w:val="Normal"/>
    <w:uiPriority w:val="9"/>
    <w:qFormat/>
    <w:rsid w:val="00591231"/>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591231"/>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591231"/>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591231"/>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591231"/>
    <w:pPr>
      <w:keepNext/>
      <w:keepLines/>
      <w:spacing w:before="240" w:after="80"/>
      <w:outlineLvl w:val="4"/>
    </w:pPr>
    <w:rPr>
      <w:color w:val="666666"/>
    </w:rPr>
  </w:style>
  <w:style w:type="paragraph" w:styleId="Heading6">
    <w:name w:val="heading 6"/>
    <w:basedOn w:val="Normal"/>
    <w:next w:val="Normal"/>
    <w:uiPriority w:val="9"/>
    <w:semiHidden/>
    <w:unhideWhenUsed/>
    <w:qFormat/>
    <w:rsid w:val="0059123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591231"/>
    <w:pPr>
      <w:keepNext/>
      <w:keepLines/>
      <w:spacing w:after="60"/>
    </w:pPr>
    <w:rPr>
      <w:sz w:val="52"/>
      <w:szCs w:val="52"/>
    </w:rPr>
  </w:style>
  <w:style w:type="paragraph" w:styleId="Subtitle">
    <w:name w:val="Subtitle"/>
    <w:basedOn w:val="Normal"/>
    <w:next w:val="Normal"/>
    <w:uiPriority w:val="11"/>
    <w:qFormat/>
    <w:rsid w:val="00591231"/>
    <w:pPr>
      <w:keepNext/>
      <w:keepLines/>
      <w:spacing w:after="320"/>
    </w:pPr>
    <w:rPr>
      <w:color w:val="666666"/>
      <w:sz w:val="30"/>
      <w:szCs w:val="30"/>
    </w:rPr>
  </w:style>
  <w:style w:type="paragraph" w:customStyle="1" w:styleId="FootnoteText1">
    <w:name w:val="Footnote Text1"/>
    <w:basedOn w:val="Normal"/>
    <w:next w:val="FootnoteText"/>
    <w:link w:val="FootnoteTextChar"/>
    <w:uiPriority w:val="99"/>
    <w:unhideWhenUsed/>
    <w:rsid w:val="0046731C"/>
    <w:pPr>
      <w:spacing w:line="240" w:lineRule="auto"/>
    </w:pPr>
    <w:rPr>
      <w:sz w:val="20"/>
      <w:szCs w:val="20"/>
    </w:rPr>
  </w:style>
  <w:style w:type="character" w:customStyle="1" w:styleId="FootnoteTextChar">
    <w:name w:val="Footnote Text Char"/>
    <w:basedOn w:val="DefaultParagraphFont"/>
    <w:link w:val="FootnoteText1"/>
    <w:uiPriority w:val="99"/>
    <w:rsid w:val="0046731C"/>
    <w:rPr>
      <w:sz w:val="20"/>
      <w:szCs w:val="20"/>
    </w:rPr>
  </w:style>
  <w:style w:type="paragraph" w:styleId="FootnoteText">
    <w:name w:val="footnote text"/>
    <w:basedOn w:val="Normal"/>
    <w:link w:val="FootnoteTextChar1"/>
    <w:uiPriority w:val="99"/>
    <w:semiHidden/>
    <w:unhideWhenUsed/>
    <w:rsid w:val="0046731C"/>
    <w:pPr>
      <w:spacing w:line="240" w:lineRule="auto"/>
    </w:pPr>
    <w:rPr>
      <w:sz w:val="20"/>
      <w:szCs w:val="25"/>
    </w:rPr>
  </w:style>
  <w:style w:type="character" w:customStyle="1" w:styleId="FootnoteTextChar1">
    <w:name w:val="Footnote Text Char1"/>
    <w:basedOn w:val="DefaultParagraphFont"/>
    <w:link w:val="FootnoteText"/>
    <w:uiPriority w:val="99"/>
    <w:semiHidden/>
    <w:rsid w:val="0046731C"/>
    <w:rPr>
      <w:sz w:val="20"/>
      <w:szCs w:val="25"/>
    </w:rPr>
  </w:style>
  <w:style w:type="character" w:styleId="Hyperlink">
    <w:name w:val="Hyperlink"/>
    <w:basedOn w:val="DefaultParagraphFont"/>
    <w:uiPriority w:val="99"/>
    <w:unhideWhenUsed/>
    <w:rsid w:val="00A55ECF"/>
    <w:rPr>
      <w:color w:val="0000FF" w:themeColor="hyperlink"/>
      <w:u w:val="single"/>
    </w:rPr>
  </w:style>
  <w:style w:type="paragraph" w:styleId="ListParagraph">
    <w:name w:val="List Paragraph"/>
    <w:basedOn w:val="Normal"/>
    <w:uiPriority w:val="34"/>
    <w:qFormat/>
    <w:rsid w:val="0058318D"/>
    <w:pPr>
      <w:ind w:left="720"/>
      <w:contextualSpacing/>
    </w:pPr>
    <w:rPr>
      <w:szCs w:val="28"/>
    </w:rPr>
  </w:style>
  <w:style w:type="character" w:styleId="FootnoteReference">
    <w:name w:val="footnote reference"/>
    <w:basedOn w:val="DefaultParagraphFont"/>
    <w:uiPriority w:val="99"/>
    <w:semiHidden/>
    <w:unhideWhenUsed/>
    <w:rsid w:val="003151FF"/>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chutondebnath.mcj@ku.ac.b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stor.org/stable/4289675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hilosophybasics.com/branch_liberalis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CAC0D-E6C4-4E20-9626-BE2F42323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31</Pages>
  <Words>7761</Words>
  <Characters>44239</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59</cp:revision>
  <dcterms:created xsi:type="dcterms:W3CDTF">2021-04-11T13:22:00Z</dcterms:created>
  <dcterms:modified xsi:type="dcterms:W3CDTF">2021-04-15T14:01:00Z</dcterms:modified>
</cp:coreProperties>
</file>